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59492B80"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495455">
        <w:rPr>
          <w:rFonts w:ascii="Arial" w:hAnsi="Arial" w:cs="Arial"/>
          <w:b/>
          <w:bCs/>
          <w:sz w:val="24"/>
        </w:rPr>
        <w:t>2</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00831F29" w:rsidRPr="00831F29">
        <w:rPr>
          <w:rFonts w:ascii="Arial" w:hAnsi="Arial" w:cs="Arial"/>
          <w:b/>
          <w:bCs/>
          <w:sz w:val="24"/>
        </w:rPr>
        <w:t>R1-2006135</w:t>
      </w:r>
    </w:p>
    <w:p w14:paraId="0DDD9E9D" w14:textId="72E08EF7"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495455">
        <w:rPr>
          <w:rFonts w:ascii="Arial" w:eastAsia="MS Mincho" w:hAnsi="Arial" w:cs="Arial"/>
          <w:b/>
          <w:bCs/>
          <w:sz w:val="24"/>
          <w:lang w:eastAsia="ja-JP"/>
        </w:rPr>
        <w:t>17</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495455">
        <w:rPr>
          <w:rFonts w:ascii="Arial" w:eastAsia="MS Mincho" w:hAnsi="Arial" w:cs="Arial"/>
          <w:b/>
          <w:bCs/>
          <w:sz w:val="24"/>
          <w:lang w:eastAsia="ja-JP"/>
        </w:rPr>
        <w:t>August</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495455">
        <w:rPr>
          <w:rFonts w:ascii="Arial" w:eastAsia="MS Mincho" w:hAnsi="Arial" w:cs="Arial"/>
          <w:b/>
          <w:bCs/>
          <w:sz w:val="24"/>
          <w:lang w:eastAsia="ja-JP"/>
        </w:rPr>
        <w:t>28</w:t>
      </w:r>
      <w:r w:rsidR="00B34644" w:rsidRPr="00B34644">
        <w:rPr>
          <w:rFonts w:ascii="Arial" w:eastAsia="MS Mincho" w:hAnsi="Arial" w:cs="Arial"/>
          <w:b/>
          <w:bCs/>
          <w:sz w:val="24"/>
          <w:vertAlign w:val="superscript"/>
          <w:lang w:eastAsia="ja-JP"/>
        </w:rPr>
        <w:t>th</w:t>
      </w:r>
      <w:r w:rsidR="007B65F9">
        <w:rPr>
          <w:rFonts w:ascii="Arial" w:eastAsia="MS Mincho" w:hAnsi="Arial" w:cs="Arial"/>
          <w:b/>
          <w:bCs/>
          <w:sz w:val="24"/>
          <w:lang w:eastAsia="ja-JP"/>
        </w:rPr>
        <w:t xml:space="preserve"> </w:t>
      </w:r>
      <w:r w:rsidR="00495455">
        <w:rPr>
          <w:rFonts w:ascii="Arial" w:eastAsia="MS Mincho" w:hAnsi="Arial" w:cs="Arial"/>
          <w:b/>
          <w:bCs/>
          <w:sz w:val="24"/>
          <w:lang w:eastAsia="ja-JP"/>
        </w:rPr>
        <w:t>August</w:t>
      </w:r>
      <w:r w:rsidR="007B65F9">
        <w:rPr>
          <w:rFonts w:ascii="Arial" w:eastAsia="MS Mincho" w:hAnsi="Arial" w:cs="Arial"/>
          <w:b/>
          <w:bCs/>
          <w:sz w:val="24"/>
          <w:lang w:eastAsia="ja-JP"/>
        </w:rPr>
        <w:t>, 2020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292BFD0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610886">
        <w:rPr>
          <w:rFonts w:ascii="Arial" w:hAnsi="Arial"/>
          <w:sz w:val="24"/>
          <w:lang w:val="en-US"/>
        </w:rPr>
        <w:t>8</w:t>
      </w:r>
      <w:r w:rsidR="00D03251" w:rsidRPr="00082D37">
        <w:rPr>
          <w:rFonts w:ascii="Arial" w:hAnsi="Arial"/>
          <w:sz w:val="24"/>
          <w:lang w:val="en-US" w:eastAsia="ko-KR"/>
        </w:rPr>
        <w:t>.</w:t>
      </w:r>
      <w:r w:rsidR="00610886">
        <w:rPr>
          <w:rFonts w:ascii="Arial" w:hAnsi="Arial"/>
          <w:sz w:val="24"/>
          <w:lang w:val="en-US" w:eastAsia="ko-KR"/>
        </w:rPr>
        <w:t>1</w:t>
      </w:r>
      <w:r w:rsidR="005E05B0" w:rsidRPr="00082D37">
        <w:rPr>
          <w:rFonts w:ascii="Arial" w:hAnsi="Arial"/>
          <w:sz w:val="24"/>
          <w:lang w:val="en-US" w:eastAsia="ko-KR"/>
        </w:rPr>
        <w:t>.</w:t>
      </w:r>
      <w:r w:rsidR="00610886">
        <w:rPr>
          <w:rFonts w:ascii="Arial" w:hAnsi="Arial"/>
          <w:sz w:val="24"/>
          <w:lang w:val="en-US" w:eastAsia="ko-KR"/>
        </w:rPr>
        <w:t>5</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0B1DB016"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610886" w:rsidRPr="00610886">
        <w:rPr>
          <w:rFonts w:ascii="Arial" w:hAnsi="Arial"/>
          <w:sz w:val="24"/>
          <w:lang w:val="en-US"/>
        </w:rPr>
        <w:t>Simulation results for multi-beam enhancements</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08C97721" w14:textId="2A63AAF3" w:rsidR="008F0F07" w:rsidRDefault="008F0F07" w:rsidP="00056CB7">
      <w:pPr>
        <w:pStyle w:val="Heading1"/>
        <w:spacing w:before="0" w:after="60"/>
        <w:jc w:val="both"/>
        <w:rPr>
          <w:lang w:val="en-US"/>
        </w:rPr>
      </w:pPr>
      <w:r>
        <w:rPr>
          <w:lang w:val="en-US"/>
        </w:rPr>
        <w:t>Introduction</w:t>
      </w:r>
    </w:p>
    <w:p w14:paraId="7BF75F6A" w14:textId="593C49FF" w:rsidR="008F0F07" w:rsidRPr="00C4426C" w:rsidRDefault="008F0F07" w:rsidP="008F0F07">
      <w:pPr>
        <w:pStyle w:val="0Maintext"/>
        <w:spacing w:after="60" w:afterAutospacing="0"/>
        <w:rPr>
          <w:lang w:val="en-US"/>
        </w:rPr>
      </w:pPr>
      <w:r w:rsidRPr="00C4426C">
        <w:rPr>
          <w:lang w:val="en-US"/>
        </w:rPr>
        <w:t xml:space="preserve">This contribution </w:t>
      </w:r>
      <w:r w:rsidR="00C51904">
        <w:rPr>
          <w:lang w:val="en-US"/>
        </w:rPr>
        <w:t>provides simulation results for the beam-based inter-cell mobility as proposed in the companion contribution [1].</w:t>
      </w:r>
    </w:p>
    <w:p w14:paraId="4CA1F316" w14:textId="77777777" w:rsidR="008F0F07" w:rsidRPr="00645E28" w:rsidRDefault="008F0F07" w:rsidP="008F0F07">
      <w:pPr>
        <w:rPr>
          <w:sz w:val="20"/>
          <w:lang w:val="en-US" w:eastAsia="ko-KR"/>
        </w:rPr>
      </w:pPr>
    </w:p>
    <w:p w14:paraId="57FAAAE8" w14:textId="64FE36F0" w:rsidR="00242D10" w:rsidRPr="00082D37" w:rsidRDefault="006A73CC" w:rsidP="00056CB7">
      <w:pPr>
        <w:pStyle w:val="Heading1"/>
        <w:spacing w:before="0" w:after="60"/>
        <w:jc w:val="both"/>
        <w:rPr>
          <w:lang w:val="en-US"/>
        </w:rPr>
      </w:pPr>
      <w:r>
        <w:rPr>
          <w:lang w:val="en-US"/>
        </w:rPr>
        <w:t xml:space="preserve">Simulation results for </w:t>
      </w:r>
      <w:r w:rsidR="0064434C">
        <w:rPr>
          <w:lang w:val="en-US"/>
        </w:rPr>
        <w:t xml:space="preserve">beam-based </w:t>
      </w:r>
      <w:r>
        <w:rPr>
          <w:lang w:val="en-US"/>
        </w:rPr>
        <w:t>inter-cell mobility</w:t>
      </w:r>
    </w:p>
    <w:p w14:paraId="46D20411" w14:textId="3167E91F" w:rsidR="009C77B4" w:rsidRPr="00673313" w:rsidRDefault="00BE6808" w:rsidP="00EC686D">
      <w:pPr>
        <w:spacing w:after="60" w:line="288" w:lineRule="auto"/>
        <w:ind w:firstLine="360"/>
        <w:jc w:val="both"/>
        <w:rPr>
          <w:sz w:val="20"/>
        </w:rPr>
      </w:pPr>
      <w:r w:rsidRPr="00673313">
        <w:rPr>
          <w:sz w:val="20"/>
          <w:lang w:eastAsia="ko-KR"/>
        </w:rPr>
        <w:t xml:space="preserve">A </w:t>
      </w:r>
      <w:r w:rsidRPr="00673313">
        <w:rPr>
          <w:rFonts w:hint="eastAsia"/>
          <w:sz w:val="20"/>
          <w:lang w:eastAsia="ko-KR"/>
        </w:rPr>
        <w:t xml:space="preserve">system-level </w:t>
      </w:r>
      <w:r w:rsidRPr="00673313">
        <w:rPr>
          <w:sz w:val="20"/>
          <w:lang w:eastAsia="ko-KR"/>
        </w:rPr>
        <w:t>e</w:t>
      </w:r>
      <w:r w:rsidRPr="00673313">
        <w:rPr>
          <w:rFonts w:hint="eastAsia"/>
          <w:sz w:val="20"/>
          <w:lang w:eastAsia="ko-KR"/>
        </w:rPr>
        <w:t>valuation</w:t>
      </w:r>
      <w:r w:rsidRPr="00673313">
        <w:rPr>
          <w:sz w:val="20"/>
          <w:lang w:eastAsia="ko-KR"/>
        </w:rPr>
        <w:t xml:space="preserve"> with realistic data traffic models</w:t>
      </w:r>
      <w:r w:rsidRPr="00673313">
        <w:rPr>
          <w:rFonts w:hint="eastAsia"/>
          <w:sz w:val="20"/>
          <w:lang w:eastAsia="ko-KR"/>
        </w:rPr>
        <w:t xml:space="preserve"> </w:t>
      </w:r>
      <w:r w:rsidRPr="00673313">
        <w:rPr>
          <w:sz w:val="20"/>
          <w:lang w:eastAsia="ko-KR"/>
        </w:rPr>
        <w:t>is</w:t>
      </w:r>
      <w:r w:rsidRPr="00673313">
        <w:rPr>
          <w:rFonts w:hint="eastAsia"/>
          <w:sz w:val="20"/>
          <w:lang w:eastAsia="ko-KR"/>
        </w:rPr>
        <w:t xml:space="preserve"> </w:t>
      </w:r>
      <w:r w:rsidRPr="00673313">
        <w:rPr>
          <w:sz w:val="20"/>
          <w:lang w:eastAsia="ko-KR"/>
        </w:rPr>
        <w:t>carried out for</w:t>
      </w:r>
      <w:r w:rsidRPr="00673313">
        <w:rPr>
          <w:rFonts w:hint="eastAsia"/>
          <w:sz w:val="20"/>
          <w:lang w:eastAsia="ko-KR"/>
        </w:rPr>
        <w:t xml:space="preserve"> </w:t>
      </w:r>
      <w:r w:rsidRPr="00673313">
        <w:rPr>
          <w:sz w:val="20"/>
          <w:lang w:eastAsia="ko-KR"/>
        </w:rPr>
        <w:t xml:space="preserve">Dense Urban (Macro only) </w:t>
      </w:r>
      <w:r w:rsidR="00B55657" w:rsidRPr="00673313">
        <w:rPr>
          <w:sz w:val="20"/>
          <w:lang w:eastAsia="ko-KR"/>
        </w:rPr>
        <w:t>scenario</w:t>
      </w:r>
      <w:r w:rsidRPr="00673313">
        <w:rPr>
          <w:rFonts w:hint="eastAsia"/>
          <w:sz w:val="20"/>
          <w:lang w:eastAsia="ko-KR"/>
        </w:rPr>
        <w:t xml:space="preserve"> </w:t>
      </w:r>
      <w:r w:rsidR="00B55657" w:rsidRPr="00673313">
        <w:rPr>
          <w:sz w:val="20"/>
          <w:lang w:eastAsia="ko-KR"/>
        </w:rPr>
        <w:t xml:space="preserve">assuming </w:t>
      </w:r>
      <w:r w:rsidRPr="00673313">
        <w:rPr>
          <w:sz w:val="20"/>
          <w:lang w:eastAsia="ko-KR"/>
        </w:rPr>
        <w:t xml:space="preserve">medium (50% target RU) traffic loading. </w:t>
      </w:r>
      <w:r w:rsidRPr="00673313">
        <w:rPr>
          <w:sz w:val="20"/>
        </w:rPr>
        <w:t>SU-MIMO transmission is considered in the simulation.</w:t>
      </w:r>
      <w:r w:rsidRPr="00673313">
        <w:rPr>
          <w:sz w:val="20"/>
          <w:lang w:eastAsia="ko-KR"/>
        </w:rPr>
        <w:t xml:space="preserve"> </w:t>
      </w:r>
      <w:r w:rsidR="00B55657" w:rsidRPr="00673313">
        <w:rPr>
          <w:sz w:val="20"/>
        </w:rPr>
        <w:t xml:space="preserve">The relevant </w:t>
      </w:r>
      <w:r w:rsidR="008122AF">
        <w:rPr>
          <w:sz w:val="20"/>
        </w:rPr>
        <w:t>evaluation</w:t>
      </w:r>
      <w:r w:rsidR="00B55657" w:rsidRPr="00673313">
        <w:rPr>
          <w:sz w:val="20"/>
        </w:rPr>
        <w:t xml:space="preserve"> assumptions</w:t>
      </w:r>
      <w:r w:rsidR="008122AF">
        <w:rPr>
          <w:sz w:val="20"/>
        </w:rPr>
        <w:t xml:space="preserve"> (EVMs)</w:t>
      </w:r>
      <w:r w:rsidR="00B55657" w:rsidRPr="00673313">
        <w:rPr>
          <w:sz w:val="20"/>
        </w:rPr>
        <w:t xml:space="preserve"> and parameters are listed in </w:t>
      </w:r>
      <w:r w:rsidR="00B55657" w:rsidRPr="00673313">
        <w:rPr>
          <w:sz w:val="20"/>
        </w:rPr>
        <w:fldChar w:fldCharType="begin"/>
      </w:r>
      <w:r w:rsidR="00B55657" w:rsidRPr="00673313">
        <w:rPr>
          <w:sz w:val="20"/>
        </w:rPr>
        <w:instrText xml:space="preserve"> REF _Ref525812457 \h </w:instrText>
      </w:r>
      <w:r w:rsidR="00673313">
        <w:rPr>
          <w:sz w:val="20"/>
        </w:rPr>
        <w:instrText xml:space="preserve"> \* MERGEFORMAT </w:instrText>
      </w:r>
      <w:r w:rsidR="00B55657" w:rsidRPr="00673313">
        <w:rPr>
          <w:sz w:val="20"/>
        </w:rPr>
      </w:r>
      <w:r w:rsidR="00B55657" w:rsidRPr="00673313">
        <w:rPr>
          <w:sz w:val="20"/>
        </w:rPr>
        <w:fldChar w:fldCharType="separate"/>
      </w:r>
      <w:r w:rsidR="00B55657" w:rsidRPr="00B55657">
        <w:rPr>
          <w:b/>
          <w:bCs/>
          <w:sz w:val="20"/>
        </w:rPr>
        <w:t xml:space="preserve">Table </w:t>
      </w:r>
      <w:r w:rsidR="00B55657" w:rsidRPr="00673313">
        <w:rPr>
          <w:b/>
          <w:bCs/>
          <w:noProof/>
          <w:sz w:val="20"/>
        </w:rPr>
        <w:t>1</w:t>
      </w:r>
      <w:r w:rsidR="00B55657" w:rsidRPr="00673313">
        <w:rPr>
          <w:sz w:val="20"/>
        </w:rPr>
        <w:fldChar w:fldCharType="end"/>
      </w:r>
      <w:r w:rsidR="00B55657" w:rsidRPr="00673313">
        <w:rPr>
          <w:sz w:val="20"/>
        </w:rPr>
        <w:t xml:space="preserve"> in the Appendix</w:t>
      </w:r>
      <w:r w:rsidR="008122AF">
        <w:rPr>
          <w:sz w:val="20"/>
        </w:rPr>
        <w:t xml:space="preserve">, which is according to the EVM agreed offline and captured in [2] except that the traffic model is FTP1 and inter-cell mobility is </w:t>
      </w:r>
      <w:r w:rsidR="00F42891">
        <w:rPr>
          <w:sz w:val="20"/>
        </w:rPr>
        <w:t>modelled</w:t>
      </w:r>
      <w:r w:rsidR="00B55657" w:rsidRPr="00673313">
        <w:rPr>
          <w:sz w:val="20"/>
        </w:rPr>
        <w:t xml:space="preserve">. </w:t>
      </w:r>
      <w:r w:rsidRPr="00673313">
        <w:rPr>
          <w:sz w:val="20"/>
          <w:lang w:eastAsia="ko-KR"/>
        </w:rPr>
        <w:t>The average and cell-edge</w:t>
      </w:r>
      <w:r w:rsidR="00F42891">
        <w:rPr>
          <w:sz w:val="20"/>
          <w:lang w:eastAsia="ko-KR"/>
        </w:rPr>
        <w:t xml:space="preserve"> (5%)</w:t>
      </w:r>
      <w:r w:rsidRPr="00673313">
        <w:rPr>
          <w:sz w:val="20"/>
          <w:lang w:eastAsia="ko-KR"/>
        </w:rPr>
        <w:t xml:space="preserve"> </w:t>
      </w:r>
      <w:r w:rsidR="00B76370">
        <w:rPr>
          <w:sz w:val="20"/>
          <w:lang w:eastAsia="ko-KR"/>
        </w:rPr>
        <w:t xml:space="preserve">user perceived </w:t>
      </w:r>
      <w:r w:rsidRPr="00673313">
        <w:rPr>
          <w:sz w:val="20"/>
          <w:lang w:eastAsia="ko-KR"/>
        </w:rPr>
        <w:t xml:space="preserve">throughput </w:t>
      </w:r>
      <w:r w:rsidR="00B76370">
        <w:rPr>
          <w:sz w:val="20"/>
          <w:lang w:eastAsia="ko-KR"/>
        </w:rPr>
        <w:t xml:space="preserve">(UPT) </w:t>
      </w:r>
      <w:r w:rsidRPr="00673313">
        <w:rPr>
          <w:sz w:val="20"/>
          <w:lang w:eastAsia="ko-KR"/>
        </w:rPr>
        <w:t>performance comparing Rel.15</w:t>
      </w:r>
      <w:r w:rsidR="00F42891">
        <w:rPr>
          <w:sz w:val="20"/>
          <w:lang w:eastAsia="ko-KR"/>
        </w:rPr>
        <w:t>/16-based</w:t>
      </w:r>
      <w:r w:rsidRPr="00673313">
        <w:rPr>
          <w:sz w:val="20"/>
          <w:lang w:eastAsia="ko-KR"/>
        </w:rPr>
        <w:t xml:space="preserve"> </w:t>
      </w:r>
      <w:r w:rsidR="00F42891">
        <w:rPr>
          <w:sz w:val="20"/>
          <w:lang w:eastAsia="ko-KR"/>
        </w:rPr>
        <w:t xml:space="preserve">mobility </w:t>
      </w:r>
      <w:r w:rsidRPr="00673313">
        <w:rPr>
          <w:sz w:val="20"/>
          <w:lang w:eastAsia="ko-KR"/>
        </w:rPr>
        <w:t>and proposed beam</w:t>
      </w:r>
      <w:r w:rsidR="00F42891">
        <w:rPr>
          <w:sz w:val="20"/>
          <w:lang w:eastAsia="ko-KR"/>
        </w:rPr>
        <w:t>-based inter-cell</w:t>
      </w:r>
      <w:r w:rsidRPr="00673313">
        <w:rPr>
          <w:sz w:val="20"/>
          <w:lang w:eastAsia="ko-KR"/>
        </w:rPr>
        <w:t xml:space="preserve"> </w:t>
      </w:r>
      <w:r w:rsidR="00F42891">
        <w:rPr>
          <w:sz w:val="20"/>
          <w:lang w:eastAsia="ko-KR"/>
        </w:rPr>
        <w:t>mobility</w:t>
      </w:r>
      <w:r w:rsidRPr="00673313">
        <w:rPr>
          <w:sz w:val="20"/>
          <w:lang w:eastAsia="ko-KR"/>
        </w:rPr>
        <w:t xml:space="preserve"> are provided in </w:t>
      </w:r>
      <w:r w:rsidRPr="00673313">
        <w:rPr>
          <w:sz w:val="20"/>
          <w:lang w:eastAsia="ko-KR"/>
        </w:rPr>
        <w:fldChar w:fldCharType="begin"/>
      </w:r>
      <w:r w:rsidRPr="00673313">
        <w:rPr>
          <w:sz w:val="20"/>
          <w:lang w:eastAsia="ko-KR"/>
        </w:rPr>
        <w:instrText xml:space="preserve"> REF _Ref40287325 \h  \* MERGEFORMAT </w:instrText>
      </w:r>
      <w:r w:rsidRPr="00673313">
        <w:rPr>
          <w:sz w:val="20"/>
          <w:lang w:eastAsia="ko-KR"/>
        </w:rPr>
      </w:r>
      <w:r w:rsidRPr="00673313">
        <w:rPr>
          <w:sz w:val="20"/>
          <w:lang w:eastAsia="ko-KR"/>
        </w:rPr>
        <w:fldChar w:fldCharType="separate"/>
      </w:r>
      <w:r w:rsidR="00B55657" w:rsidRPr="00673313">
        <w:rPr>
          <w:sz w:val="20"/>
        </w:rPr>
        <w:t xml:space="preserve">Fig. </w:t>
      </w:r>
      <w:r w:rsidR="00B55657" w:rsidRPr="00673313">
        <w:rPr>
          <w:noProof/>
          <w:sz w:val="20"/>
        </w:rPr>
        <w:t>1</w:t>
      </w:r>
      <w:r w:rsidRPr="00673313">
        <w:rPr>
          <w:sz w:val="20"/>
          <w:lang w:eastAsia="ko-KR"/>
        </w:rPr>
        <w:fldChar w:fldCharType="end"/>
      </w:r>
      <w:r w:rsidRPr="00673313">
        <w:rPr>
          <w:sz w:val="20"/>
          <w:lang w:eastAsia="ko-KR"/>
        </w:rPr>
        <w:t xml:space="preserve"> for two mobility scenarios: 30 and 120 km</w:t>
      </w:r>
      <w:r w:rsidR="00194E02">
        <w:rPr>
          <w:sz w:val="20"/>
          <w:lang w:eastAsia="ko-KR"/>
        </w:rPr>
        <w:t>/</w:t>
      </w:r>
      <w:r w:rsidRPr="00673313">
        <w:rPr>
          <w:sz w:val="20"/>
          <w:lang w:eastAsia="ko-KR"/>
        </w:rPr>
        <w:t xml:space="preserve">h. The results are shown with </w:t>
      </w:r>
      <w:r w:rsidR="00F42891" w:rsidRPr="00673313">
        <w:rPr>
          <w:sz w:val="20"/>
          <w:lang w:eastAsia="ko-KR"/>
        </w:rPr>
        <w:t>Rel.15</w:t>
      </w:r>
      <w:r w:rsidR="00F42891">
        <w:rPr>
          <w:sz w:val="20"/>
          <w:lang w:eastAsia="ko-KR"/>
        </w:rPr>
        <w:t>/16-based</w:t>
      </w:r>
      <w:r w:rsidR="00F42891" w:rsidRPr="00673313">
        <w:rPr>
          <w:sz w:val="20"/>
          <w:lang w:eastAsia="ko-KR"/>
        </w:rPr>
        <w:t xml:space="preserve"> </w:t>
      </w:r>
      <w:r w:rsidR="00F42891">
        <w:rPr>
          <w:sz w:val="20"/>
          <w:lang w:eastAsia="ko-KR"/>
        </w:rPr>
        <w:t xml:space="preserve">mobility </w:t>
      </w:r>
      <w:r w:rsidRPr="00673313">
        <w:rPr>
          <w:sz w:val="20"/>
          <w:lang w:eastAsia="ko-KR"/>
        </w:rPr>
        <w:t xml:space="preserve">with 30 kmph as reference. </w:t>
      </w:r>
      <w:r w:rsidRPr="00673313">
        <w:rPr>
          <w:sz w:val="20"/>
        </w:rPr>
        <w:t xml:space="preserve">We can observe </w:t>
      </w:r>
      <w:r w:rsidR="009C77B4" w:rsidRPr="00673313">
        <w:rPr>
          <w:sz w:val="20"/>
        </w:rPr>
        <w:t>the following.</w:t>
      </w:r>
    </w:p>
    <w:p w14:paraId="51F150F3" w14:textId="01F15019" w:rsidR="009C77B4" w:rsidRPr="00673313" w:rsidRDefault="009C77B4" w:rsidP="00EA13B4">
      <w:pPr>
        <w:spacing w:after="60" w:line="288" w:lineRule="auto"/>
        <w:jc w:val="both"/>
        <w:rPr>
          <w:i/>
          <w:sz w:val="20"/>
        </w:rPr>
      </w:pPr>
      <w:r w:rsidRPr="00673313">
        <w:rPr>
          <w:b/>
          <w:i/>
          <w:sz w:val="20"/>
        </w:rPr>
        <w:t>Observation</w:t>
      </w:r>
      <w:r w:rsidR="00194E02">
        <w:rPr>
          <w:b/>
          <w:i/>
          <w:sz w:val="20"/>
        </w:rPr>
        <w:t>s</w:t>
      </w:r>
      <w:r w:rsidRPr="00673313">
        <w:rPr>
          <w:i/>
          <w:sz w:val="20"/>
        </w:rPr>
        <w:t xml:space="preserve">: </w:t>
      </w:r>
    </w:p>
    <w:p w14:paraId="2C819480" w14:textId="24FB4A74" w:rsidR="009C77B4" w:rsidRPr="00673313" w:rsidRDefault="00BE6808" w:rsidP="00EA13B4">
      <w:pPr>
        <w:pStyle w:val="ListParagraph"/>
        <w:numPr>
          <w:ilvl w:val="0"/>
          <w:numId w:val="47"/>
        </w:numPr>
        <w:spacing w:after="60" w:line="288" w:lineRule="auto"/>
        <w:ind w:leftChars="0"/>
        <w:jc w:val="both"/>
        <w:rPr>
          <w:i/>
          <w:sz w:val="20"/>
        </w:rPr>
      </w:pPr>
      <w:r w:rsidRPr="00673313">
        <w:rPr>
          <w:i/>
          <w:sz w:val="20"/>
        </w:rPr>
        <w:t>the performance of Rel. 15</w:t>
      </w:r>
      <w:r w:rsidR="006E7299">
        <w:rPr>
          <w:i/>
          <w:sz w:val="20"/>
        </w:rPr>
        <w:t>/16-based mobility</w:t>
      </w:r>
      <w:r w:rsidRPr="00673313">
        <w:rPr>
          <w:i/>
          <w:sz w:val="20"/>
        </w:rPr>
        <w:t xml:space="preserve"> degrades severely with high mobility, i.e., ~50% and ~95% loss in avg. and </w:t>
      </w:r>
      <w:r w:rsidR="006E7299">
        <w:rPr>
          <w:i/>
          <w:sz w:val="20"/>
        </w:rPr>
        <w:t>5%</w:t>
      </w:r>
      <w:r w:rsidRPr="00673313">
        <w:rPr>
          <w:i/>
          <w:sz w:val="20"/>
        </w:rPr>
        <w:t xml:space="preserve"> </w:t>
      </w:r>
      <w:r w:rsidR="00194E02">
        <w:rPr>
          <w:i/>
          <w:sz w:val="20"/>
        </w:rPr>
        <w:t xml:space="preserve">UPT </w:t>
      </w:r>
      <w:r w:rsidRPr="00673313">
        <w:rPr>
          <w:i/>
          <w:sz w:val="20"/>
        </w:rPr>
        <w:t xml:space="preserve">throughput, </w:t>
      </w:r>
    </w:p>
    <w:p w14:paraId="113CB110" w14:textId="5C7FF256" w:rsidR="009C77B4" w:rsidRPr="00673313" w:rsidRDefault="00BE6808" w:rsidP="00EA13B4">
      <w:pPr>
        <w:pStyle w:val="ListParagraph"/>
        <w:numPr>
          <w:ilvl w:val="0"/>
          <w:numId w:val="47"/>
        </w:numPr>
        <w:spacing w:after="60" w:line="288" w:lineRule="auto"/>
        <w:ind w:leftChars="0"/>
        <w:jc w:val="both"/>
        <w:rPr>
          <w:i/>
          <w:sz w:val="20"/>
        </w:rPr>
      </w:pPr>
      <w:r w:rsidRPr="00673313">
        <w:rPr>
          <w:i/>
          <w:sz w:val="20"/>
        </w:rPr>
        <w:t xml:space="preserve">the performance of proposed </w:t>
      </w:r>
      <w:r w:rsidR="006E7299">
        <w:rPr>
          <w:i/>
          <w:sz w:val="20"/>
        </w:rPr>
        <w:t>beam-based mobility</w:t>
      </w:r>
      <w:r w:rsidRPr="00673313">
        <w:rPr>
          <w:i/>
          <w:sz w:val="20"/>
        </w:rPr>
        <w:t xml:space="preserve"> is significantly better than Rel. 15</w:t>
      </w:r>
      <w:r w:rsidR="006E7299">
        <w:rPr>
          <w:i/>
          <w:sz w:val="20"/>
        </w:rPr>
        <w:t>/16-based mobility</w:t>
      </w:r>
      <w:r w:rsidRPr="00673313">
        <w:rPr>
          <w:i/>
          <w:sz w:val="20"/>
        </w:rPr>
        <w:t xml:space="preserve">, and </w:t>
      </w:r>
    </w:p>
    <w:p w14:paraId="6D23631B" w14:textId="0A44086D" w:rsidR="00BE6808" w:rsidRDefault="00BE6808" w:rsidP="00EA13B4">
      <w:pPr>
        <w:pStyle w:val="ListParagraph"/>
        <w:numPr>
          <w:ilvl w:val="0"/>
          <w:numId w:val="47"/>
        </w:numPr>
        <w:spacing w:after="60" w:line="288" w:lineRule="auto"/>
        <w:ind w:leftChars="0"/>
        <w:jc w:val="both"/>
        <w:rPr>
          <w:i/>
          <w:sz w:val="20"/>
        </w:rPr>
      </w:pPr>
      <w:r w:rsidRPr="00673313">
        <w:rPr>
          <w:i/>
          <w:sz w:val="20"/>
        </w:rPr>
        <w:t xml:space="preserve">the proposed </w:t>
      </w:r>
      <w:r w:rsidR="006E7299">
        <w:rPr>
          <w:i/>
          <w:sz w:val="20"/>
        </w:rPr>
        <w:t>beam-based mobility</w:t>
      </w:r>
      <w:r w:rsidR="006E7299" w:rsidRPr="00673313">
        <w:rPr>
          <w:i/>
          <w:sz w:val="20"/>
        </w:rPr>
        <w:t xml:space="preserve"> </w:t>
      </w:r>
      <w:r w:rsidRPr="00673313">
        <w:rPr>
          <w:i/>
          <w:sz w:val="20"/>
        </w:rPr>
        <w:t xml:space="preserve">achieves reasonably good performance, which can ensure seamless connectivity to high mobility users. </w:t>
      </w:r>
      <w:r w:rsidR="00EA13B4">
        <w:rPr>
          <w:i/>
          <w:sz w:val="20"/>
        </w:rPr>
        <w:t xml:space="preserve"> </w:t>
      </w:r>
    </w:p>
    <w:p w14:paraId="74068562" w14:textId="77777777" w:rsidR="000F2BA1" w:rsidRPr="000F2BA1" w:rsidRDefault="000F2BA1" w:rsidP="000F2BA1">
      <w:pPr>
        <w:spacing w:after="60" w:line="288" w:lineRule="auto"/>
        <w:rPr>
          <w:i/>
          <w:sz w:val="20"/>
        </w:rPr>
      </w:pPr>
    </w:p>
    <w:p w14:paraId="2148F0EB" w14:textId="77777777" w:rsidR="00BE6808" w:rsidRPr="009B6C0C" w:rsidRDefault="00BE6808" w:rsidP="00BE6808">
      <w:pPr>
        <w:keepNext/>
        <w:jc w:val="center"/>
      </w:pPr>
      <w:r w:rsidRPr="009B6C0C">
        <w:rPr>
          <w:noProof/>
          <w:lang w:val="en-US"/>
        </w:rPr>
        <w:drawing>
          <wp:inline distT="0" distB="0" distL="0" distR="0" wp14:anchorId="2491EAD3" wp14:editId="2104AE85">
            <wp:extent cx="2528454" cy="2804449"/>
            <wp:effectExtent l="0" t="0" r="5715" b="1524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9B6C0C">
        <w:rPr>
          <w:noProof/>
          <w:lang w:val="en-US"/>
        </w:rPr>
        <w:drawing>
          <wp:inline distT="0" distB="0" distL="0" distR="0" wp14:anchorId="18F00674" wp14:editId="16642587">
            <wp:extent cx="2050473" cy="2819689"/>
            <wp:effectExtent l="0" t="0" r="698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D3CB61E" w14:textId="7089F538" w:rsidR="00BE6808" w:rsidRDefault="00BE6808" w:rsidP="0013076D">
      <w:pPr>
        <w:pStyle w:val="0Maintext"/>
        <w:spacing w:after="60" w:afterAutospacing="0"/>
        <w:jc w:val="center"/>
        <w:rPr>
          <w:lang w:val="en-US"/>
        </w:rPr>
      </w:pPr>
      <w:bookmarkStart w:id="2" w:name="_Ref40287325"/>
      <w:bookmarkStart w:id="3" w:name="_Ref488162498"/>
      <w:r w:rsidRPr="008C0233">
        <w:rPr>
          <w:b/>
        </w:rPr>
        <w:t xml:space="preserve">Fig. </w:t>
      </w:r>
      <w:r w:rsidRPr="008C0233">
        <w:rPr>
          <w:b/>
          <w:i/>
        </w:rPr>
        <w:fldChar w:fldCharType="begin"/>
      </w:r>
      <w:r w:rsidRPr="008C0233">
        <w:rPr>
          <w:b/>
        </w:rPr>
        <w:instrText xml:space="preserve"> SEQ Figure \* ARABIC </w:instrText>
      </w:r>
      <w:r w:rsidRPr="008C0233">
        <w:rPr>
          <w:b/>
          <w:i/>
        </w:rPr>
        <w:fldChar w:fldCharType="separate"/>
      </w:r>
      <w:r w:rsidR="00B55657">
        <w:rPr>
          <w:b/>
          <w:noProof/>
        </w:rPr>
        <w:t>1</w:t>
      </w:r>
      <w:r w:rsidRPr="008C0233">
        <w:rPr>
          <w:b/>
          <w:i/>
        </w:rPr>
        <w:fldChar w:fldCharType="end"/>
      </w:r>
      <w:bookmarkEnd w:id="2"/>
      <w:bookmarkEnd w:id="3"/>
      <w:r>
        <w:rPr>
          <w:b/>
          <w:color w:val="000000" w:themeColor="text1"/>
        </w:rPr>
        <w:t>.</w:t>
      </w:r>
      <w:r w:rsidRPr="00191DD1">
        <w:rPr>
          <w:b/>
          <w:color w:val="000000" w:themeColor="text1"/>
        </w:rPr>
        <w:t xml:space="preserve"> </w:t>
      </w:r>
      <w:r>
        <w:rPr>
          <w:b/>
          <w:color w:val="000000" w:themeColor="text1"/>
        </w:rPr>
        <w:t>Performance results.</w:t>
      </w:r>
    </w:p>
    <w:p w14:paraId="2D981A3F" w14:textId="019362BC" w:rsidR="00BE549F" w:rsidRPr="00F27612" w:rsidRDefault="00CC20ED" w:rsidP="00BE549F">
      <w:pPr>
        <w:pStyle w:val="01Section1"/>
        <w:spacing w:before="0"/>
        <w:rPr>
          <w:lang w:val="en-US"/>
        </w:rPr>
      </w:pPr>
      <w:r>
        <w:rPr>
          <w:lang w:val="en-US"/>
        </w:rPr>
        <w:lastRenderedPageBreak/>
        <w:t>Conclusion</w:t>
      </w:r>
    </w:p>
    <w:p w14:paraId="3F339F5B"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A752FF0"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CBCE7C6" w14:textId="55AA8E26" w:rsidR="00BE549F" w:rsidRDefault="00981DD8" w:rsidP="00981DD8">
      <w:pPr>
        <w:pStyle w:val="0Maintext"/>
        <w:spacing w:after="120" w:afterAutospacing="0"/>
        <w:ind w:firstLine="450"/>
        <w:rPr>
          <w:lang w:val="en-US"/>
        </w:rPr>
      </w:pPr>
      <w:r>
        <w:rPr>
          <w:lang w:val="en-US"/>
        </w:rPr>
        <w:t>In this contribu</w:t>
      </w:r>
      <w:r w:rsidR="00573419">
        <w:rPr>
          <w:lang w:val="en-US"/>
        </w:rPr>
        <w:t xml:space="preserve">tion, the following observations </w:t>
      </w:r>
      <w:r>
        <w:rPr>
          <w:lang w:val="en-US"/>
        </w:rPr>
        <w:t xml:space="preserve">are </w:t>
      </w:r>
      <w:r w:rsidR="00573419">
        <w:rPr>
          <w:lang w:val="en-US"/>
        </w:rPr>
        <w:t>made</w:t>
      </w:r>
      <w:r>
        <w:rPr>
          <w:lang w:val="en-US"/>
        </w:rPr>
        <w:t xml:space="preserve">: </w:t>
      </w:r>
    </w:p>
    <w:p w14:paraId="3EBAB0DE" w14:textId="219A7AC4" w:rsidR="00EA13B4" w:rsidRPr="00673313" w:rsidRDefault="00EA13B4" w:rsidP="00EA13B4">
      <w:pPr>
        <w:spacing w:after="60" w:line="288" w:lineRule="auto"/>
        <w:jc w:val="both"/>
        <w:rPr>
          <w:i/>
          <w:sz w:val="20"/>
        </w:rPr>
      </w:pPr>
      <w:r w:rsidRPr="00673313">
        <w:rPr>
          <w:b/>
          <w:i/>
          <w:sz w:val="20"/>
        </w:rPr>
        <w:t>Observation</w:t>
      </w:r>
      <w:r w:rsidR="00194E02">
        <w:rPr>
          <w:b/>
          <w:i/>
          <w:sz w:val="20"/>
        </w:rPr>
        <w:t>s</w:t>
      </w:r>
      <w:r w:rsidRPr="00673313">
        <w:rPr>
          <w:i/>
          <w:sz w:val="20"/>
        </w:rPr>
        <w:t xml:space="preserve">: </w:t>
      </w:r>
    </w:p>
    <w:p w14:paraId="1B201D8D" w14:textId="0B4CA7CB" w:rsidR="00EA13B4" w:rsidRPr="00673313" w:rsidRDefault="00EA13B4" w:rsidP="00EA13B4">
      <w:pPr>
        <w:pStyle w:val="ListParagraph"/>
        <w:numPr>
          <w:ilvl w:val="0"/>
          <w:numId w:val="47"/>
        </w:numPr>
        <w:spacing w:after="60" w:line="288" w:lineRule="auto"/>
        <w:ind w:leftChars="0"/>
        <w:jc w:val="both"/>
        <w:rPr>
          <w:i/>
          <w:sz w:val="20"/>
        </w:rPr>
      </w:pPr>
      <w:r w:rsidRPr="00673313">
        <w:rPr>
          <w:i/>
          <w:sz w:val="20"/>
        </w:rPr>
        <w:t>the performance of Rel. 15</w:t>
      </w:r>
      <w:r>
        <w:rPr>
          <w:i/>
          <w:sz w:val="20"/>
        </w:rPr>
        <w:t>/16-based mobility</w:t>
      </w:r>
      <w:r w:rsidRPr="00673313">
        <w:rPr>
          <w:i/>
          <w:sz w:val="20"/>
        </w:rPr>
        <w:t xml:space="preserve"> degrades severely with high mobility, i.e., ~50% and ~95% loss in avg. and </w:t>
      </w:r>
      <w:r>
        <w:rPr>
          <w:i/>
          <w:sz w:val="20"/>
        </w:rPr>
        <w:t>5%</w:t>
      </w:r>
      <w:r w:rsidR="00194E02">
        <w:rPr>
          <w:i/>
          <w:sz w:val="20"/>
        </w:rPr>
        <w:t xml:space="preserve"> UTP</w:t>
      </w:r>
      <w:r w:rsidRPr="00673313">
        <w:rPr>
          <w:i/>
          <w:sz w:val="20"/>
        </w:rPr>
        <w:t xml:space="preserve"> throughput, </w:t>
      </w:r>
    </w:p>
    <w:p w14:paraId="3A1A6917" w14:textId="77777777" w:rsidR="00EA13B4" w:rsidRPr="00673313" w:rsidRDefault="00EA13B4" w:rsidP="00EA13B4">
      <w:pPr>
        <w:pStyle w:val="ListParagraph"/>
        <w:numPr>
          <w:ilvl w:val="0"/>
          <w:numId w:val="47"/>
        </w:numPr>
        <w:spacing w:after="60" w:line="288" w:lineRule="auto"/>
        <w:ind w:leftChars="0"/>
        <w:jc w:val="both"/>
        <w:rPr>
          <w:i/>
          <w:sz w:val="20"/>
        </w:rPr>
      </w:pPr>
      <w:r w:rsidRPr="00673313">
        <w:rPr>
          <w:i/>
          <w:sz w:val="20"/>
        </w:rPr>
        <w:t xml:space="preserve">the performance of proposed </w:t>
      </w:r>
      <w:r>
        <w:rPr>
          <w:i/>
          <w:sz w:val="20"/>
        </w:rPr>
        <w:t>beam-based mobility</w:t>
      </w:r>
      <w:r w:rsidRPr="00673313">
        <w:rPr>
          <w:i/>
          <w:sz w:val="20"/>
        </w:rPr>
        <w:t xml:space="preserve"> is significantly better than Rel. 15</w:t>
      </w:r>
      <w:r>
        <w:rPr>
          <w:i/>
          <w:sz w:val="20"/>
        </w:rPr>
        <w:t>/16-based mobility</w:t>
      </w:r>
      <w:r w:rsidRPr="00673313">
        <w:rPr>
          <w:i/>
          <w:sz w:val="20"/>
        </w:rPr>
        <w:t xml:space="preserve">, and </w:t>
      </w:r>
    </w:p>
    <w:p w14:paraId="420C7B94" w14:textId="72EDB2EB" w:rsidR="003111A6" w:rsidRPr="00EA13B4" w:rsidRDefault="00EA13B4" w:rsidP="00EA13B4">
      <w:pPr>
        <w:pStyle w:val="0Maintext"/>
        <w:numPr>
          <w:ilvl w:val="0"/>
          <w:numId w:val="47"/>
        </w:numPr>
        <w:spacing w:after="120" w:afterAutospacing="0"/>
        <w:rPr>
          <w:lang w:val="en-US"/>
        </w:rPr>
      </w:pPr>
      <w:r w:rsidRPr="00673313">
        <w:rPr>
          <w:i/>
        </w:rPr>
        <w:t xml:space="preserve">the proposed </w:t>
      </w:r>
      <w:r>
        <w:rPr>
          <w:i/>
        </w:rPr>
        <w:t>beam-based mobility</w:t>
      </w:r>
      <w:r w:rsidRPr="00673313">
        <w:rPr>
          <w:i/>
        </w:rPr>
        <w:t xml:space="preserve"> achieves reasonably good performance, which can ensure seamless connectivity to high mobility users</w:t>
      </w:r>
    </w:p>
    <w:p w14:paraId="23F5E180" w14:textId="77777777" w:rsidR="00EA13B4" w:rsidRPr="00082D37" w:rsidRDefault="00EA13B4" w:rsidP="00EA13B4">
      <w:pPr>
        <w:pStyle w:val="0Maintext"/>
        <w:spacing w:after="120" w:afterAutospacing="0"/>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51104D09" w14:textId="50C5FCB9" w:rsidR="0049340D" w:rsidRDefault="00915874" w:rsidP="00915874">
      <w:pPr>
        <w:pStyle w:val="ListParagraph"/>
        <w:numPr>
          <w:ilvl w:val="0"/>
          <w:numId w:val="5"/>
        </w:numPr>
        <w:ind w:leftChars="0"/>
        <w:rPr>
          <w:rFonts w:cs="Batang"/>
          <w:sz w:val="20"/>
          <w:lang w:val="en-US" w:eastAsia="ko-KR"/>
        </w:rPr>
      </w:pPr>
      <w:r>
        <w:rPr>
          <w:rFonts w:cs="Batang"/>
          <w:sz w:val="20"/>
          <w:lang w:val="en-US" w:eastAsia="ko-KR"/>
        </w:rPr>
        <w:t>R1-2006128</w:t>
      </w:r>
      <w:r w:rsidR="0049340D" w:rsidRPr="00AF1430">
        <w:rPr>
          <w:rFonts w:cs="Batang"/>
          <w:sz w:val="20"/>
          <w:lang w:val="en-US" w:eastAsia="ko-KR"/>
        </w:rPr>
        <w:t>, “</w:t>
      </w:r>
      <w:r>
        <w:rPr>
          <w:rFonts w:cs="Batang"/>
          <w:sz w:val="20"/>
          <w:lang w:val="en-US" w:eastAsia="ko-KR"/>
        </w:rPr>
        <w:t>Multi-Beam E</w:t>
      </w:r>
      <w:r w:rsidRPr="00915874">
        <w:rPr>
          <w:rFonts w:cs="Batang"/>
          <w:sz w:val="20"/>
          <w:lang w:val="en-US" w:eastAsia="ko-KR"/>
        </w:rPr>
        <w:t>nhancement</w:t>
      </w:r>
      <w:r>
        <w:rPr>
          <w:rFonts w:cs="Batang"/>
          <w:sz w:val="20"/>
          <w:lang w:val="en-US" w:eastAsia="ko-KR"/>
        </w:rPr>
        <w:t>s</w:t>
      </w:r>
      <w:r w:rsidR="0049340D" w:rsidRPr="00AF1430">
        <w:rPr>
          <w:rFonts w:cs="Batang"/>
          <w:sz w:val="20"/>
          <w:lang w:val="en-US" w:eastAsia="ko-KR"/>
        </w:rPr>
        <w:t xml:space="preserve">,” </w:t>
      </w:r>
      <w:r w:rsidR="002D05B1">
        <w:rPr>
          <w:rFonts w:cs="Batang"/>
          <w:sz w:val="20"/>
          <w:lang w:val="en-US" w:eastAsia="ko-KR"/>
        </w:rPr>
        <w:t>Samsung</w:t>
      </w:r>
      <w:r w:rsidR="0049340D" w:rsidRPr="00AF1430">
        <w:rPr>
          <w:rFonts w:cs="Batang"/>
          <w:sz w:val="20"/>
          <w:lang w:val="en-US" w:eastAsia="ko-KR"/>
        </w:rPr>
        <w:t>.</w:t>
      </w:r>
    </w:p>
    <w:p w14:paraId="5789807D" w14:textId="5B171F4F" w:rsidR="00D42716" w:rsidRDefault="00915874" w:rsidP="00915874">
      <w:pPr>
        <w:pStyle w:val="ListParagraph"/>
        <w:numPr>
          <w:ilvl w:val="0"/>
          <w:numId w:val="5"/>
        </w:numPr>
        <w:ind w:leftChars="0"/>
        <w:rPr>
          <w:rFonts w:cs="Batang"/>
          <w:sz w:val="20"/>
          <w:lang w:val="en-US" w:eastAsia="ko-KR"/>
        </w:rPr>
      </w:pPr>
      <w:r w:rsidRPr="00915874">
        <w:rPr>
          <w:rFonts w:cs="Batang"/>
          <w:sz w:val="20"/>
          <w:lang w:val="en-US" w:eastAsia="ko-KR"/>
        </w:rPr>
        <w:t>R1-2006126</w:t>
      </w:r>
      <w:r w:rsidR="00D42716" w:rsidRPr="00AF1430">
        <w:rPr>
          <w:rFonts w:cs="Batang"/>
          <w:sz w:val="20"/>
          <w:lang w:val="en-US" w:eastAsia="ko-KR"/>
        </w:rPr>
        <w:t>, “</w:t>
      </w:r>
      <w:r w:rsidRPr="00915874">
        <w:rPr>
          <w:rFonts w:cs="Batang"/>
          <w:sz w:val="20"/>
          <w:lang w:val="en-US" w:eastAsia="ko-KR"/>
        </w:rPr>
        <w:t>Moderator summary for Rel.17 FeMIMO EVM offline</w:t>
      </w:r>
      <w:r w:rsidR="00D42716" w:rsidRPr="00AF1430">
        <w:rPr>
          <w:rFonts w:cs="Batang"/>
          <w:sz w:val="20"/>
          <w:lang w:val="en-US" w:eastAsia="ko-KR"/>
        </w:rPr>
        <w:t xml:space="preserve">,” </w:t>
      </w:r>
      <w:r w:rsidR="00D42716" w:rsidRPr="00D42716">
        <w:rPr>
          <w:rFonts w:cs="Batang"/>
          <w:sz w:val="20"/>
          <w:lang w:val="en-US" w:eastAsia="ko-KR"/>
        </w:rPr>
        <w:t>Moderator (</w:t>
      </w:r>
      <w:r>
        <w:rPr>
          <w:rFonts w:cs="Batang"/>
          <w:sz w:val="20"/>
          <w:lang w:val="en-US" w:eastAsia="ko-KR"/>
        </w:rPr>
        <w:t>Samsung</w:t>
      </w:r>
      <w:r w:rsidR="00D42716" w:rsidRPr="00D42716">
        <w:rPr>
          <w:rFonts w:cs="Batang"/>
          <w:sz w:val="20"/>
          <w:lang w:val="en-US" w:eastAsia="ko-KR"/>
        </w:rPr>
        <w:t>)</w:t>
      </w:r>
      <w:r w:rsidR="00D42716" w:rsidRPr="00AF1430">
        <w:rPr>
          <w:rFonts w:cs="Batang"/>
          <w:sz w:val="20"/>
          <w:lang w:val="en-US" w:eastAsia="ko-KR"/>
        </w:rPr>
        <w:t>.</w:t>
      </w:r>
    </w:p>
    <w:p w14:paraId="0BB0B9FE" w14:textId="77777777" w:rsidR="00E85FA6" w:rsidRDefault="00E85FA6" w:rsidP="008C7C70">
      <w:pPr>
        <w:rPr>
          <w:rFonts w:cs="Batang"/>
          <w:sz w:val="32"/>
          <w:lang w:val="en-US" w:eastAsia="ko-KR"/>
        </w:rPr>
      </w:pPr>
    </w:p>
    <w:p w14:paraId="04C21C1A" w14:textId="7CED5A68" w:rsidR="008C7C70" w:rsidRDefault="008C7C70" w:rsidP="008C7C70">
      <w:pPr>
        <w:rPr>
          <w:rFonts w:ascii="Arial" w:hAnsi="Arial" w:cs="Arial"/>
          <w:sz w:val="32"/>
          <w:lang w:val="en-US" w:eastAsia="ko-KR"/>
        </w:rPr>
      </w:pPr>
      <w:r w:rsidRPr="000C265E">
        <w:rPr>
          <w:rFonts w:ascii="Arial" w:hAnsi="Arial" w:cs="Arial"/>
          <w:sz w:val="32"/>
          <w:lang w:val="en-US" w:eastAsia="ko-KR"/>
        </w:rPr>
        <w:t>Appendix</w:t>
      </w:r>
    </w:p>
    <w:p w14:paraId="569FC53A" w14:textId="36511270" w:rsidR="00B55657" w:rsidRPr="00B55657" w:rsidRDefault="00B55657" w:rsidP="00B55657">
      <w:pPr>
        <w:keepNext/>
        <w:spacing w:before="60" w:after="120" w:line="288" w:lineRule="auto"/>
        <w:jc w:val="center"/>
        <w:rPr>
          <w:b/>
          <w:bCs/>
          <w:sz w:val="20"/>
          <w:lang w:eastAsia="ko-KR"/>
        </w:rPr>
      </w:pPr>
      <w:bookmarkStart w:id="4" w:name="_Ref525812457"/>
      <w:r w:rsidRPr="00B55657">
        <w:rPr>
          <w:b/>
          <w:bCs/>
          <w:sz w:val="20"/>
        </w:rPr>
        <w:lastRenderedPageBreak/>
        <w:t xml:space="preserve">Table </w:t>
      </w:r>
      <w:r w:rsidRPr="00B55657">
        <w:rPr>
          <w:b/>
          <w:bCs/>
          <w:sz w:val="20"/>
        </w:rPr>
        <w:fldChar w:fldCharType="begin"/>
      </w:r>
      <w:r w:rsidRPr="00B55657">
        <w:rPr>
          <w:b/>
          <w:bCs/>
          <w:sz w:val="20"/>
        </w:rPr>
        <w:instrText xml:space="preserve"> SEQ Table \* ARABIC </w:instrText>
      </w:r>
      <w:r w:rsidRPr="00B55657">
        <w:rPr>
          <w:b/>
          <w:bCs/>
          <w:sz w:val="20"/>
        </w:rPr>
        <w:fldChar w:fldCharType="separate"/>
      </w:r>
      <w:r>
        <w:rPr>
          <w:b/>
          <w:bCs/>
          <w:noProof/>
          <w:sz w:val="20"/>
        </w:rPr>
        <w:t>1</w:t>
      </w:r>
      <w:r w:rsidRPr="00B55657">
        <w:rPr>
          <w:b/>
          <w:bCs/>
          <w:sz w:val="20"/>
        </w:rPr>
        <w:fldChar w:fldCharType="end"/>
      </w:r>
      <w:bookmarkEnd w:id="4"/>
      <w:r w:rsidRPr="00B55657">
        <w:rPr>
          <w:b/>
          <w:bCs/>
          <w:sz w:val="20"/>
        </w:rPr>
        <w:t>: Simulation assumptions</w:t>
      </w:r>
    </w:p>
    <w:tbl>
      <w:tblPr>
        <w:tblW w:w="9787" w:type="dxa"/>
        <w:tblCellMar>
          <w:left w:w="0" w:type="dxa"/>
          <w:right w:w="0" w:type="dxa"/>
        </w:tblCellMar>
        <w:tblLook w:val="04A0" w:firstRow="1" w:lastRow="0" w:firstColumn="1" w:lastColumn="0" w:noHBand="0" w:noVBand="1"/>
      </w:tblPr>
      <w:tblGrid>
        <w:gridCol w:w="3392"/>
        <w:gridCol w:w="6395"/>
      </w:tblGrid>
      <w:tr w:rsidR="0062170B" w:rsidRPr="001746C6" w14:paraId="4AC1ADC7" w14:textId="77777777" w:rsidTr="00543E7F">
        <w:trPr>
          <w:trHeight w:val="118"/>
        </w:trPr>
        <w:tc>
          <w:tcPr>
            <w:tcW w:w="3392"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4A5E31DD" w14:textId="77777777" w:rsidR="00B55657" w:rsidRPr="00B55657" w:rsidRDefault="00B55657" w:rsidP="00543E7F">
            <w:pPr>
              <w:keepNext/>
              <w:overflowPunct w:val="0"/>
              <w:autoSpaceDE w:val="0"/>
              <w:autoSpaceDN w:val="0"/>
              <w:spacing w:after="0"/>
              <w:jc w:val="center"/>
              <w:rPr>
                <w:rFonts w:ascii="Arial" w:eastAsia="Gulim" w:hAnsi="Arial" w:cs="Arial"/>
                <w:b/>
                <w:bCs/>
                <w:sz w:val="18"/>
                <w:szCs w:val="18"/>
                <w:lang w:val="en-US" w:eastAsia="ja-JP"/>
              </w:rPr>
            </w:pPr>
            <w:r w:rsidRPr="00B55657">
              <w:rPr>
                <w:rFonts w:ascii="Arial" w:eastAsia="Batang" w:hAnsi="Arial" w:cs="Arial"/>
                <w:b/>
                <w:bCs/>
                <w:sz w:val="18"/>
                <w:szCs w:val="18"/>
                <w:lang w:val="en-US" w:eastAsia="ja-JP"/>
              </w:rPr>
              <w:t>Parameters</w:t>
            </w:r>
          </w:p>
        </w:tc>
        <w:tc>
          <w:tcPr>
            <w:tcW w:w="6395"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1AABC56D" w14:textId="77777777" w:rsidR="00B55657" w:rsidRPr="00B55657" w:rsidRDefault="00B55657" w:rsidP="00543E7F">
            <w:pPr>
              <w:keepNext/>
              <w:overflowPunct w:val="0"/>
              <w:autoSpaceDE w:val="0"/>
              <w:autoSpaceDN w:val="0"/>
              <w:spacing w:after="0"/>
              <w:jc w:val="center"/>
              <w:rPr>
                <w:rFonts w:ascii="Arial" w:eastAsia="Batang" w:hAnsi="Arial" w:cs="Arial"/>
                <w:b/>
                <w:bCs/>
                <w:sz w:val="18"/>
                <w:szCs w:val="18"/>
                <w:lang w:val="en-US" w:eastAsia="ja-JP"/>
              </w:rPr>
            </w:pPr>
            <w:r w:rsidRPr="00B55657">
              <w:rPr>
                <w:rFonts w:ascii="Arial" w:eastAsia="Batang" w:hAnsi="Arial" w:cs="Arial"/>
                <w:b/>
                <w:bCs/>
                <w:sz w:val="18"/>
                <w:szCs w:val="18"/>
                <w:lang w:val="en-US" w:eastAsia="ja-JP"/>
              </w:rPr>
              <w:t>Values</w:t>
            </w:r>
          </w:p>
        </w:tc>
      </w:tr>
      <w:tr w:rsidR="0062170B" w:rsidRPr="001746C6" w14:paraId="707E1641" w14:textId="77777777" w:rsidTr="00543E7F">
        <w:trPr>
          <w:trHeight w:val="419"/>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3349A91"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Scenarios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1637B4D" w14:textId="5E2B76EE" w:rsidR="00B55657" w:rsidRPr="00B55657" w:rsidRDefault="004474A9" w:rsidP="00543E7F">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Dense urban (macro-layer only, TR 38.913) @FR2, 200m ISD, 2-tier model with wrap-around (7 sites, 3 sectors/cells per cell), 100% outdoor</w:t>
            </w:r>
            <w:r w:rsidR="00144591" w:rsidRPr="001746C6">
              <w:rPr>
                <w:rFonts w:ascii="Arial" w:eastAsia="Gulim" w:hAnsi="Arial" w:cs="Arial"/>
                <w:sz w:val="18"/>
                <w:szCs w:val="18"/>
                <w:lang w:val="en-US" w:eastAsia="ko-KR"/>
              </w:rPr>
              <w:t xml:space="preserve">, </w:t>
            </w:r>
            <w:r w:rsidRPr="001746C6">
              <w:rPr>
                <w:rFonts w:ascii="Arial" w:eastAsia="Gulim" w:hAnsi="Arial" w:cs="Arial"/>
                <w:sz w:val="18"/>
                <w:szCs w:val="18"/>
                <w:lang w:val="en-US" w:eastAsia="ko-KR"/>
              </w:rPr>
              <w:t xml:space="preserve">number of dropped UEs per sector = 10 </w:t>
            </w:r>
            <w:r w:rsidR="00B55657" w:rsidRPr="00B55657">
              <w:rPr>
                <w:rFonts w:ascii="Arial" w:eastAsia="Gulim" w:hAnsi="Arial" w:cs="Arial"/>
                <w:sz w:val="18"/>
                <w:szCs w:val="18"/>
                <w:lang w:val="en-US" w:eastAsia="ko-KR"/>
              </w:rPr>
              <w:t xml:space="preserve"> </w:t>
            </w:r>
          </w:p>
        </w:tc>
      </w:tr>
      <w:tr w:rsidR="00543E7F" w:rsidRPr="001746C6" w14:paraId="196FF3D6" w14:textId="77777777" w:rsidTr="00543E7F">
        <w:trPr>
          <w:trHeight w:val="236"/>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2D5B3F92" w14:textId="10D99A15" w:rsidR="00543E7F" w:rsidRPr="001746C6" w:rsidRDefault="00543E7F" w:rsidP="00543E7F">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Frequency Range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20A29D0E" w14:textId="56119BBE" w:rsidR="00543E7F" w:rsidRPr="001746C6" w:rsidRDefault="00543E7F" w:rsidP="00543E7F">
            <w:pPr>
              <w:spacing w:after="0"/>
              <w:rPr>
                <w:rFonts w:ascii="Arial" w:eastAsia="Gulim" w:hAnsi="Arial" w:cs="Arial"/>
                <w:sz w:val="18"/>
                <w:szCs w:val="18"/>
                <w:lang w:val="en-US" w:eastAsia="ko-KR"/>
              </w:rPr>
            </w:pPr>
            <w:r w:rsidRPr="001746C6">
              <w:rPr>
                <w:rFonts w:ascii="Arial" w:eastAsia="Gulim" w:hAnsi="Arial" w:cs="Arial"/>
                <w:sz w:val="18"/>
                <w:szCs w:val="18"/>
                <w:lang w:val="en-US" w:eastAsia="ko-KR"/>
              </w:rPr>
              <w:t>FR2 @ 30 GHz, SCS: 120 kHz, BW: 80 MHz</w:t>
            </w:r>
          </w:p>
        </w:tc>
      </w:tr>
      <w:tr w:rsidR="0062170B" w:rsidRPr="001746C6" w14:paraId="607C82FD" w14:textId="77777777" w:rsidTr="00543E7F">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028C149"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Mode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68BE929"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DL SU-MIMO</w:t>
            </w:r>
          </w:p>
        </w:tc>
      </w:tr>
      <w:tr w:rsidR="0062170B" w:rsidRPr="001746C6" w14:paraId="4811DBB8" w14:textId="77777777" w:rsidTr="00543E7F">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2EE706F"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Channel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05C1802"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Following related assumption in TR 38.802/38.901</w:t>
            </w:r>
          </w:p>
        </w:tc>
      </w:tr>
      <w:tr w:rsidR="0062170B" w:rsidRPr="001746C6" w14:paraId="7496F4CD" w14:textId="77777777" w:rsidTr="00543E7F">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026F742"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1E8A1E1"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2D DFT based beam </w:t>
            </w:r>
            <w:r w:rsidRPr="00B55657">
              <w:rPr>
                <w:rFonts w:ascii="Arial" w:eastAsia="Gulim" w:hAnsi="Arial" w:cs="Arial"/>
                <w:sz w:val="18"/>
                <w:szCs w:val="18"/>
                <w:lang w:val="it-IT" w:eastAsia="ko-KR"/>
              </w:rPr>
              <w:t>per polarization</w:t>
            </w:r>
          </w:p>
        </w:tc>
      </w:tr>
      <w:tr w:rsidR="0062170B" w:rsidRPr="001746C6" w14:paraId="07702E87" w14:textId="77777777" w:rsidTr="00543E7F">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E3A41ED"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TXRU mapping weights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BFFF8D6" w14:textId="77777777" w:rsidR="00B55657" w:rsidRPr="00B55657" w:rsidRDefault="00B55657" w:rsidP="00543E7F">
            <w:pPr>
              <w:keepNext/>
              <w:spacing w:after="0"/>
              <w:jc w:val="both"/>
              <w:rPr>
                <w:rFonts w:ascii="Arial" w:eastAsia="Gulim" w:hAnsi="Arial" w:cs="Arial"/>
                <w:sz w:val="18"/>
                <w:szCs w:val="18"/>
                <w:lang w:val="en-US" w:eastAsia="ko-KR"/>
              </w:rPr>
            </w:pPr>
            <w:bookmarkStart w:id="5" w:name="_GoBack"/>
            <w:proofErr w:type="spellStart"/>
            <w:r w:rsidRPr="00B55657">
              <w:rPr>
                <w:rFonts w:ascii="Arial" w:eastAsia="Gulim" w:hAnsi="Arial" w:cs="Arial"/>
                <w:sz w:val="18"/>
                <w:szCs w:val="18"/>
                <w:lang w:val="en-US" w:eastAsia="ko-KR"/>
              </w:rPr>
              <w:t>gNB</w:t>
            </w:r>
            <w:bookmarkEnd w:id="5"/>
            <w:proofErr w:type="spellEnd"/>
            <w:r w:rsidRPr="00B55657">
              <w:rPr>
                <w:rFonts w:ascii="Arial" w:eastAsia="Gulim" w:hAnsi="Arial" w:cs="Arial"/>
                <w:sz w:val="18"/>
                <w:szCs w:val="18"/>
                <w:lang w:val="en-US" w:eastAsia="ko-KR"/>
              </w:rPr>
              <w:t>: 16 2D DFT beams (4 in azimuth and 4 in zenith)</w:t>
            </w:r>
          </w:p>
          <w:p w14:paraId="25FA1E7B"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UE: 8 DFT </w:t>
            </w:r>
            <w:proofErr w:type="spellStart"/>
            <w:r w:rsidRPr="00B55657">
              <w:rPr>
                <w:rFonts w:ascii="Arial" w:eastAsia="Gulim" w:hAnsi="Arial" w:cs="Arial"/>
                <w:sz w:val="18"/>
                <w:szCs w:val="18"/>
                <w:lang w:val="en-US" w:eastAsia="ko-KR"/>
              </w:rPr>
              <w:t>DFT</w:t>
            </w:r>
            <w:proofErr w:type="spellEnd"/>
            <w:r w:rsidRPr="00B55657">
              <w:rPr>
                <w:rFonts w:ascii="Arial" w:eastAsia="Gulim" w:hAnsi="Arial" w:cs="Arial"/>
                <w:sz w:val="18"/>
                <w:szCs w:val="18"/>
                <w:lang w:val="en-US" w:eastAsia="ko-KR"/>
              </w:rPr>
              <w:t xml:space="preserve"> beams (4 in azimuth and 2 in zenith)</w:t>
            </w:r>
          </w:p>
        </w:tc>
      </w:tr>
      <w:tr w:rsidR="0062170B" w:rsidRPr="001746C6" w14:paraId="4028D44B" w14:textId="77777777" w:rsidTr="00543E7F">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5B59C59"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Criteria for selection for serving TRP</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33C0215"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(Similar to sub-6GHz), based on 1 TXRU at </w:t>
            </w:r>
            <w:proofErr w:type="spellStart"/>
            <w:r w:rsidRPr="00B55657">
              <w:rPr>
                <w:rFonts w:ascii="Arial" w:eastAsia="Gulim" w:hAnsi="Arial" w:cs="Arial"/>
                <w:sz w:val="18"/>
                <w:szCs w:val="18"/>
                <w:lang w:val="en-US" w:eastAsia="ko-KR"/>
              </w:rPr>
              <w:t>gNB</w:t>
            </w:r>
            <w:proofErr w:type="spellEnd"/>
            <w:r w:rsidRPr="00B55657">
              <w:rPr>
                <w:rFonts w:ascii="Arial" w:eastAsia="Gulim" w:hAnsi="Arial" w:cs="Arial"/>
                <w:sz w:val="18"/>
                <w:szCs w:val="18"/>
                <w:lang w:val="en-US" w:eastAsia="ko-KR"/>
              </w:rPr>
              <w:t xml:space="preserve"> sweeping 16 beams and all TXRUs at UE sweeping 8 beams; metric = max sum received power</w:t>
            </w:r>
          </w:p>
        </w:tc>
      </w:tr>
      <w:tr w:rsidR="0062170B" w:rsidRPr="001746C6" w14:paraId="027EC39D" w14:textId="77777777" w:rsidTr="00543E7F">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96513F7"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Criteria for beam selection for serving TRP</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5BBD8F3"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Based on RSRP or 38.215 CSI-SINR metrics</w:t>
            </w:r>
          </w:p>
        </w:tc>
      </w:tr>
      <w:tr w:rsidR="0062170B" w:rsidRPr="001746C6" w14:paraId="2427C378"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4230FA3"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Constraints for the range of selective beams per TRP sector</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01BC37F"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Uniform in azimuth and zenith: azimuth within 65 degree, and zenith within [0,180]</w:t>
            </w:r>
          </w:p>
        </w:tc>
      </w:tr>
      <w:tr w:rsidR="0062170B" w:rsidRPr="001746C6" w14:paraId="0F4104E0" w14:textId="77777777" w:rsidTr="00543E7F">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4828E63"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Scheduling algorithm</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F9D43DB"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PF based</w:t>
            </w:r>
          </w:p>
        </w:tc>
      </w:tr>
      <w:tr w:rsidR="0062170B" w:rsidRPr="001746C6" w14:paraId="1B3A4E49" w14:textId="77777777" w:rsidTr="00543E7F">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C64B075"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Link adaptation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DD2635A"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Based on CSI-RS</w:t>
            </w:r>
          </w:p>
        </w:tc>
      </w:tr>
      <w:tr w:rsidR="0062170B" w:rsidRPr="001746C6" w14:paraId="5FC9E94D" w14:textId="77777777" w:rsidTr="00543E7F">
        <w:trPr>
          <w:trHeight w:val="366"/>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6DA1126"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Traffic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6D0B55A"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FTP model 1 with packet size 0.5Mbytes</w:t>
            </w:r>
          </w:p>
        </w:tc>
      </w:tr>
      <w:tr w:rsidR="0062170B" w:rsidRPr="001746C6" w14:paraId="76806C2B"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008243C"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BS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362F5E7"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(M, N, P, M</w:t>
            </w:r>
            <w:r w:rsidRPr="00B55657">
              <w:rPr>
                <w:rFonts w:ascii="Arial" w:eastAsia="Gulim" w:hAnsi="Arial" w:cs="Arial"/>
                <w:sz w:val="18"/>
                <w:szCs w:val="18"/>
                <w:vertAlign w:val="subscript"/>
                <w:lang w:val="en-US" w:eastAsia="ko-KR"/>
              </w:rPr>
              <w:t>g</w:t>
            </w:r>
            <w:r w:rsidRPr="00B55657">
              <w:rPr>
                <w:rFonts w:ascii="Arial" w:eastAsia="Gulim" w:hAnsi="Arial" w:cs="Arial"/>
                <w:sz w:val="18"/>
                <w:szCs w:val="18"/>
                <w:lang w:val="en-US" w:eastAsia="ko-KR"/>
              </w:rPr>
              <w:t>, N</w:t>
            </w:r>
            <w:r w:rsidRPr="00B55657">
              <w:rPr>
                <w:rFonts w:ascii="Arial" w:eastAsia="Gulim" w:hAnsi="Arial" w:cs="Arial"/>
                <w:sz w:val="18"/>
                <w:szCs w:val="18"/>
                <w:vertAlign w:val="subscript"/>
                <w:lang w:val="en-US" w:eastAsia="ko-KR"/>
              </w:rPr>
              <w:t xml:space="preserve">g; </w:t>
            </w:r>
            <w:proofErr w:type="spellStart"/>
            <w:r w:rsidRPr="00B55657">
              <w:rPr>
                <w:rFonts w:ascii="Arial" w:eastAsia="Gulim" w:hAnsi="Arial" w:cs="Arial"/>
                <w:sz w:val="18"/>
                <w:szCs w:val="18"/>
                <w:lang w:val="en-US" w:eastAsia="ko-KR"/>
              </w:rPr>
              <w:t>M</w:t>
            </w:r>
            <w:r w:rsidRPr="00B55657">
              <w:rPr>
                <w:rFonts w:ascii="Arial" w:eastAsia="Gulim" w:hAnsi="Arial" w:cs="Arial"/>
                <w:sz w:val="18"/>
                <w:szCs w:val="18"/>
                <w:vertAlign w:val="subscript"/>
                <w:lang w:val="en-US" w:eastAsia="ko-KR"/>
              </w:rPr>
              <w:t>p</w:t>
            </w:r>
            <w:proofErr w:type="spellEnd"/>
            <w:r w:rsidRPr="00B55657">
              <w:rPr>
                <w:rFonts w:ascii="Arial" w:eastAsia="Gulim" w:hAnsi="Arial" w:cs="Arial"/>
                <w:sz w:val="18"/>
                <w:szCs w:val="18"/>
                <w:vertAlign w:val="subscript"/>
                <w:lang w:val="en-US" w:eastAsia="ko-KR"/>
              </w:rPr>
              <w:t xml:space="preserve">, </w:t>
            </w:r>
            <w:r w:rsidRPr="00B55657">
              <w:rPr>
                <w:rFonts w:ascii="Arial" w:eastAsia="Gulim" w:hAnsi="Arial" w:cs="Arial"/>
                <w:sz w:val="18"/>
                <w:szCs w:val="18"/>
                <w:lang w:val="en-US" w:eastAsia="ko-KR"/>
              </w:rPr>
              <w:t>N</w:t>
            </w:r>
            <w:r w:rsidRPr="00B55657">
              <w:rPr>
                <w:rFonts w:ascii="Arial" w:eastAsia="Gulim" w:hAnsi="Arial" w:cs="Arial"/>
                <w:sz w:val="18"/>
                <w:szCs w:val="18"/>
                <w:vertAlign w:val="subscript"/>
                <w:lang w:val="en-US" w:eastAsia="ko-KR"/>
              </w:rPr>
              <w:t>p</w:t>
            </w:r>
            <w:r w:rsidRPr="00B55657">
              <w:rPr>
                <w:rFonts w:ascii="Arial" w:eastAsia="Gulim" w:hAnsi="Arial" w:cs="Arial"/>
                <w:sz w:val="18"/>
                <w:szCs w:val="18"/>
                <w:lang w:val="en-US" w:eastAsia="ko-KR"/>
              </w:rPr>
              <w:t xml:space="preserve">) = (4, 8, 2, 1, 1; 1, 1). </w:t>
            </w:r>
            <w:r w:rsidRPr="00B55657">
              <w:rPr>
                <w:rFonts w:ascii="Arial" w:eastAsia="Gulim" w:hAnsi="Arial" w:cs="Arial"/>
                <w:sz w:val="18"/>
                <w:szCs w:val="18"/>
                <w:lang w:val="sv-SE" w:eastAsia="ko-KR"/>
              </w:rPr>
              <w:t>(d</w:t>
            </w:r>
            <w:r w:rsidRPr="00B55657">
              <w:rPr>
                <w:rFonts w:ascii="Arial" w:eastAsia="Gulim" w:hAnsi="Arial" w:cs="Arial"/>
                <w:sz w:val="18"/>
                <w:szCs w:val="18"/>
                <w:vertAlign w:val="subscript"/>
                <w:lang w:val="sv-SE" w:eastAsia="ko-KR"/>
              </w:rPr>
              <w:t>V</w:t>
            </w:r>
            <w:r w:rsidRPr="00B55657">
              <w:rPr>
                <w:rFonts w:ascii="Arial" w:eastAsia="Gulim" w:hAnsi="Arial" w:cs="Arial"/>
                <w:sz w:val="18"/>
                <w:szCs w:val="18"/>
                <w:lang w:val="sv-SE" w:eastAsia="ko-KR"/>
              </w:rPr>
              <w:t>, d</w:t>
            </w:r>
            <w:r w:rsidRPr="00B55657">
              <w:rPr>
                <w:rFonts w:ascii="Arial" w:eastAsia="Gulim" w:hAnsi="Arial" w:cs="Arial"/>
                <w:sz w:val="18"/>
                <w:szCs w:val="18"/>
                <w:vertAlign w:val="subscript"/>
                <w:lang w:val="sv-SE" w:eastAsia="ko-KR"/>
              </w:rPr>
              <w:t>H</w:t>
            </w:r>
            <w:r w:rsidRPr="00B55657">
              <w:rPr>
                <w:rFonts w:ascii="Arial" w:eastAsia="Gulim" w:hAnsi="Arial" w:cs="Arial"/>
                <w:sz w:val="18"/>
                <w:szCs w:val="18"/>
                <w:lang w:val="sv-SE" w:eastAsia="ko-KR"/>
              </w:rPr>
              <w:t xml:space="preserve">) = (0.5, 0.5) </w:t>
            </w:r>
            <w:r w:rsidRPr="00B55657">
              <w:rPr>
                <w:rFonts w:ascii="Arial" w:eastAsia="Gulim" w:hAnsi="Arial" w:cs="Arial"/>
                <w:sz w:val="18"/>
                <w:szCs w:val="18"/>
                <w:lang w:val="en-US" w:eastAsia="ko-KR"/>
              </w:rPr>
              <w:t>λ</w:t>
            </w:r>
          </w:p>
        </w:tc>
      </w:tr>
      <w:tr w:rsidR="0062170B" w:rsidRPr="001746C6" w14:paraId="7ADE4510"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7C291E0"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BS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E6319B7"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According to TR38.802</w:t>
            </w:r>
          </w:p>
        </w:tc>
      </w:tr>
      <w:tr w:rsidR="0062170B" w:rsidRPr="001746C6" w14:paraId="3CECE7DA" w14:textId="77777777" w:rsidTr="00543E7F">
        <w:trPr>
          <w:trHeight w:val="79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C0C70DF"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UE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452F0CE"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 (M, N, P, M</w:t>
            </w:r>
            <w:r w:rsidRPr="00B55657">
              <w:rPr>
                <w:rFonts w:ascii="Arial" w:eastAsia="Gulim" w:hAnsi="Arial" w:cs="Arial"/>
                <w:sz w:val="18"/>
                <w:szCs w:val="18"/>
                <w:vertAlign w:val="subscript"/>
                <w:lang w:val="en-US" w:eastAsia="ko-KR"/>
              </w:rPr>
              <w:t>g</w:t>
            </w:r>
            <w:r w:rsidRPr="00B55657">
              <w:rPr>
                <w:rFonts w:ascii="Arial" w:eastAsia="Gulim" w:hAnsi="Arial" w:cs="Arial"/>
                <w:sz w:val="18"/>
                <w:szCs w:val="18"/>
                <w:lang w:val="en-US" w:eastAsia="ko-KR"/>
              </w:rPr>
              <w:t>, N</w:t>
            </w:r>
            <w:r w:rsidRPr="00B55657">
              <w:rPr>
                <w:rFonts w:ascii="Arial" w:eastAsia="Gulim" w:hAnsi="Arial" w:cs="Arial"/>
                <w:sz w:val="18"/>
                <w:szCs w:val="18"/>
                <w:vertAlign w:val="subscript"/>
                <w:lang w:val="en-US" w:eastAsia="ko-KR"/>
              </w:rPr>
              <w:t xml:space="preserve">g; </w:t>
            </w:r>
            <w:proofErr w:type="spellStart"/>
            <w:r w:rsidRPr="00B55657">
              <w:rPr>
                <w:rFonts w:ascii="Arial" w:eastAsia="Gulim" w:hAnsi="Arial" w:cs="Arial"/>
                <w:sz w:val="18"/>
                <w:szCs w:val="18"/>
                <w:lang w:val="en-US" w:eastAsia="ko-KR"/>
              </w:rPr>
              <w:t>M</w:t>
            </w:r>
            <w:r w:rsidRPr="00B55657">
              <w:rPr>
                <w:rFonts w:ascii="Arial" w:eastAsia="Gulim" w:hAnsi="Arial" w:cs="Arial"/>
                <w:sz w:val="18"/>
                <w:szCs w:val="18"/>
                <w:vertAlign w:val="subscript"/>
                <w:lang w:val="en-US" w:eastAsia="ko-KR"/>
              </w:rPr>
              <w:t>p</w:t>
            </w:r>
            <w:proofErr w:type="spellEnd"/>
            <w:r w:rsidRPr="00B55657">
              <w:rPr>
                <w:rFonts w:ascii="Arial" w:eastAsia="Gulim" w:hAnsi="Arial" w:cs="Arial"/>
                <w:sz w:val="18"/>
                <w:szCs w:val="18"/>
                <w:vertAlign w:val="subscript"/>
                <w:lang w:val="en-US" w:eastAsia="ko-KR"/>
              </w:rPr>
              <w:t xml:space="preserve">, </w:t>
            </w:r>
            <w:r w:rsidRPr="00B55657">
              <w:rPr>
                <w:rFonts w:ascii="Arial" w:eastAsia="Gulim" w:hAnsi="Arial" w:cs="Arial"/>
                <w:sz w:val="18"/>
                <w:szCs w:val="18"/>
                <w:lang w:val="en-US" w:eastAsia="ko-KR"/>
              </w:rPr>
              <w:t>N</w:t>
            </w:r>
            <w:r w:rsidRPr="00B55657">
              <w:rPr>
                <w:rFonts w:ascii="Arial" w:eastAsia="Gulim" w:hAnsi="Arial" w:cs="Arial"/>
                <w:sz w:val="18"/>
                <w:szCs w:val="18"/>
                <w:vertAlign w:val="subscript"/>
                <w:lang w:val="en-US" w:eastAsia="ko-KR"/>
              </w:rPr>
              <w:t>p</w:t>
            </w:r>
            <w:r w:rsidRPr="00B55657">
              <w:rPr>
                <w:rFonts w:ascii="Arial" w:eastAsia="Gulim" w:hAnsi="Arial" w:cs="Arial"/>
                <w:sz w:val="18"/>
                <w:szCs w:val="18"/>
                <w:lang w:val="en-US" w:eastAsia="ko-KR"/>
              </w:rPr>
              <w:t>) = (2, 4, 2, 1, 2; 1, 1); (</w:t>
            </w:r>
            <w:proofErr w:type="spellStart"/>
            <w:r w:rsidRPr="00B55657">
              <w:rPr>
                <w:rFonts w:ascii="Arial" w:eastAsia="Gulim" w:hAnsi="Arial" w:cs="Arial"/>
                <w:sz w:val="18"/>
                <w:szCs w:val="18"/>
                <w:lang w:val="en-US" w:eastAsia="ko-KR"/>
              </w:rPr>
              <w:t>d</w:t>
            </w:r>
            <w:r w:rsidRPr="00B55657">
              <w:rPr>
                <w:rFonts w:ascii="Arial" w:eastAsia="Gulim" w:hAnsi="Arial" w:cs="Arial"/>
                <w:sz w:val="18"/>
                <w:szCs w:val="18"/>
                <w:vertAlign w:val="subscript"/>
                <w:lang w:val="en-US" w:eastAsia="ko-KR"/>
              </w:rPr>
              <w:t>V</w:t>
            </w:r>
            <w:proofErr w:type="spellEnd"/>
            <w:r w:rsidRPr="00B55657">
              <w:rPr>
                <w:rFonts w:ascii="Arial" w:eastAsia="Gulim" w:hAnsi="Arial" w:cs="Arial"/>
                <w:sz w:val="18"/>
                <w:szCs w:val="18"/>
                <w:lang w:val="en-US" w:eastAsia="ko-KR"/>
              </w:rPr>
              <w:t xml:space="preserve">, </w:t>
            </w:r>
            <w:proofErr w:type="spellStart"/>
            <w:r w:rsidRPr="00B55657">
              <w:rPr>
                <w:rFonts w:ascii="Arial" w:eastAsia="Gulim" w:hAnsi="Arial" w:cs="Arial"/>
                <w:sz w:val="18"/>
                <w:szCs w:val="18"/>
                <w:lang w:val="en-US" w:eastAsia="ko-KR"/>
              </w:rPr>
              <w:t>d</w:t>
            </w:r>
            <w:r w:rsidRPr="00B55657">
              <w:rPr>
                <w:rFonts w:ascii="Arial" w:eastAsia="Gulim" w:hAnsi="Arial" w:cs="Arial"/>
                <w:sz w:val="18"/>
                <w:szCs w:val="18"/>
                <w:vertAlign w:val="subscript"/>
                <w:lang w:val="en-US" w:eastAsia="ko-KR"/>
              </w:rPr>
              <w:t>H</w:t>
            </w:r>
            <w:proofErr w:type="spellEnd"/>
            <w:r w:rsidRPr="00B55657">
              <w:rPr>
                <w:rFonts w:ascii="Arial" w:eastAsia="Gulim" w:hAnsi="Arial" w:cs="Arial"/>
                <w:sz w:val="18"/>
                <w:szCs w:val="18"/>
                <w:lang w:val="en-US" w:eastAsia="ko-KR"/>
              </w:rPr>
              <w:t>) = (0.5, 0.5) λ. (</w:t>
            </w:r>
            <w:proofErr w:type="spellStart"/>
            <w:r w:rsidRPr="00B55657">
              <w:rPr>
                <w:rFonts w:ascii="Arial" w:eastAsia="Gulim" w:hAnsi="Arial" w:cs="Arial"/>
                <w:sz w:val="18"/>
                <w:szCs w:val="18"/>
                <w:lang w:val="en-US" w:eastAsia="ko-KR"/>
              </w:rPr>
              <w:t>d</w:t>
            </w:r>
            <w:r w:rsidRPr="00B55657">
              <w:rPr>
                <w:rFonts w:ascii="Arial" w:eastAsia="Gulim" w:hAnsi="Arial" w:cs="Arial"/>
                <w:sz w:val="18"/>
                <w:szCs w:val="18"/>
                <w:vertAlign w:val="subscript"/>
                <w:lang w:val="en-US" w:eastAsia="ko-KR"/>
              </w:rPr>
              <w:t>g,V</w:t>
            </w:r>
            <w:proofErr w:type="spellEnd"/>
            <w:r w:rsidRPr="00B55657">
              <w:rPr>
                <w:rFonts w:ascii="Arial" w:eastAsia="Gulim" w:hAnsi="Arial" w:cs="Arial"/>
                <w:sz w:val="18"/>
                <w:szCs w:val="18"/>
                <w:lang w:val="en-US" w:eastAsia="ko-KR"/>
              </w:rPr>
              <w:t xml:space="preserve">, </w:t>
            </w:r>
            <w:proofErr w:type="spellStart"/>
            <w:r w:rsidRPr="00B55657">
              <w:rPr>
                <w:rFonts w:ascii="Arial" w:eastAsia="Gulim" w:hAnsi="Arial" w:cs="Arial"/>
                <w:sz w:val="18"/>
                <w:szCs w:val="18"/>
                <w:lang w:val="en-US" w:eastAsia="ko-KR"/>
              </w:rPr>
              <w:t>d</w:t>
            </w:r>
            <w:r w:rsidRPr="00B55657">
              <w:rPr>
                <w:rFonts w:ascii="Arial" w:eastAsia="Gulim" w:hAnsi="Arial" w:cs="Arial"/>
                <w:sz w:val="18"/>
                <w:szCs w:val="18"/>
                <w:vertAlign w:val="subscript"/>
                <w:lang w:val="en-US" w:eastAsia="ko-KR"/>
              </w:rPr>
              <w:t>g,H</w:t>
            </w:r>
            <w:proofErr w:type="spellEnd"/>
            <w:r w:rsidRPr="00B55657">
              <w:rPr>
                <w:rFonts w:ascii="Arial" w:eastAsia="Gulim" w:hAnsi="Arial" w:cs="Arial"/>
                <w:sz w:val="18"/>
                <w:szCs w:val="18"/>
                <w:lang w:val="en-US" w:eastAsia="ko-KR"/>
              </w:rPr>
              <w:t>) = (0, 0) λ. *</w:t>
            </w:r>
            <w:proofErr w:type="spellStart"/>
            <w:r w:rsidRPr="00B55657">
              <w:rPr>
                <w:rFonts w:ascii="Arial" w:eastAsia="Gulim" w:hAnsi="Arial" w:cs="Arial"/>
                <w:sz w:val="18"/>
                <w:szCs w:val="18"/>
                <w:lang w:val="en-US" w:eastAsia="ko-KR"/>
              </w:rPr>
              <w:t>Θ</w:t>
            </w:r>
            <w:r w:rsidRPr="00B55657">
              <w:rPr>
                <w:rFonts w:ascii="Arial" w:eastAsia="Gulim" w:hAnsi="Arial" w:cs="Arial"/>
                <w:sz w:val="18"/>
                <w:szCs w:val="18"/>
                <w:vertAlign w:val="subscript"/>
                <w:lang w:val="en-US" w:eastAsia="ko-KR"/>
              </w:rPr>
              <w:t>mg,ng</w:t>
            </w:r>
            <w:proofErr w:type="spellEnd"/>
            <w:r w:rsidRPr="00B55657">
              <w:rPr>
                <w:rFonts w:ascii="Arial" w:eastAsia="Gulim" w:hAnsi="Arial" w:cs="Arial"/>
                <w:sz w:val="18"/>
                <w:szCs w:val="18"/>
                <w:lang w:val="en-US" w:eastAsia="ko-KR"/>
              </w:rPr>
              <w:t>=90°; Ω</w:t>
            </w:r>
            <w:r w:rsidRPr="00B55657">
              <w:rPr>
                <w:rFonts w:ascii="Arial" w:eastAsia="Gulim" w:hAnsi="Arial" w:cs="Arial"/>
                <w:sz w:val="18"/>
                <w:szCs w:val="18"/>
                <w:vertAlign w:val="subscript"/>
                <w:lang w:val="en-US" w:eastAsia="ko-KR"/>
              </w:rPr>
              <w:t>0,1</w:t>
            </w:r>
            <w:r w:rsidRPr="00B55657">
              <w:rPr>
                <w:rFonts w:ascii="Arial" w:eastAsia="Gulim" w:hAnsi="Arial" w:cs="Arial"/>
                <w:sz w:val="18"/>
                <w:szCs w:val="18"/>
                <w:lang w:val="en-US" w:eastAsia="ko-KR"/>
              </w:rPr>
              <w:t>=Ω</w:t>
            </w:r>
            <w:r w:rsidRPr="00B55657">
              <w:rPr>
                <w:rFonts w:ascii="Arial" w:eastAsia="Gulim" w:hAnsi="Arial" w:cs="Arial"/>
                <w:sz w:val="18"/>
                <w:szCs w:val="18"/>
                <w:vertAlign w:val="subscript"/>
                <w:lang w:val="en-US" w:eastAsia="ko-KR"/>
              </w:rPr>
              <w:t>0,0</w:t>
            </w:r>
            <w:r w:rsidRPr="00B55657">
              <w:rPr>
                <w:rFonts w:ascii="Arial" w:eastAsia="Gulim" w:hAnsi="Arial" w:cs="Arial"/>
                <w:sz w:val="18"/>
                <w:szCs w:val="18"/>
                <w:lang w:val="en-US" w:eastAsia="ko-KR"/>
              </w:rPr>
              <w:t>+180°</w:t>
            </w:r>
          </w:p>
        </w:tc>
      </w:tr>
      <w:tr w:rsidR="0062170B" w:rsidRPr="001746C6" w14:paraId="5AE47CBF"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78767F1"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UE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0AB68E8"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See Table A.2.1-8 in TR 38.802</w:t>
            </w:r>
          </w:p>
        </w:tc>
      </w:tr>
      <w:tr w:rsidR="0062170B" w:rsidRPr="001746C6" w14:paraId="0FFF0F72"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A929DE1"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Inter-panel calibration for UE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5BF8932"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hAnsi="Arial" w:cs="Arial"/>
                <w:sz w:val="18"/>
                <w:szCs w:val="18"/>
                <w:lang w:val="en-US" w:eastAsia="ko-KR"/>
              </w:rPr>
              <w:t>Ideal</w:t>
            </w:r>
          </w:p>
        </w:tc>
      </w:tr>
      <w:tr w:rsidR="0062170B" w:rsidRPr="001746C6" w14:paraId="13AFDFEC"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7003871"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Beam correspondence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E823172"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Ideal</w:t>
            </w:r>
          </w:p>
        </w:tc>
      </w:tr>
      <w:tr w:rsidR="0062170B" w:rsidRPr="001746C6" w14:paraId="496D3B47"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D2E1DCD"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Control and RS overhead</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D3A1CBC"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DMRS, CSI-RS, PDCCH</w:t>
            </w:r>
          </w:p>
        </w:tc>
      </w:tr>
      <w:tr w:rsidR="0062170B" w:rsidRPr="001746C6" w14:paraId="1DB1C719"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E87EA9B"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Control channel decoding</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F403804"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Ideal</w:t>
            </w:r>
          </w:p>
        </w:tc>
      </w:tr>
      <w:tr w:rsidR="0062170B" w:rsidRPr="001746C6" w14:paraId="2B9840B6"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82FD529"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UE receiver type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E115FE2"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MMSE-IRC</w:t>
            </w:r>
          </w:p>
        </w:tc>
      </w:tr>
      <w:tr w:rsidR="0062170B" w:rsidRPr="001746C6" w14:paraId="7CC9C9EB"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AF75745"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BF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DDB9AAD"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1 TXRU per polarization per panel</w:t>
            </w:r>
          </w:p>
        </w:tc>
      </w:tr>
      <w:tr w:rsidR="0062170B" w:rsidRPr="001746C6" w14:paraId="4E0765AC"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4542BDD" w14:textId="77777777"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Transmission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C23A1EB" w14:textId="4EB2A51E" w:rsidR="00B55657" w:rsidRPr="00B55657" w:rsidRDefault="00F11C04" w:rsidP="00F11C04">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Codebook-based, r</w:t>
            </w:r>
            <w:r w:rsidR="00B55657" w:rsidRPr="00B55657">
              <w:rPr>
                <w:rFonts w:ascii="Arial" w:eastAsia="Gulim" w:hAnsi="Arial" w:cs="Arial"/>
                <w:sz w:val="18"/>
                <w:szCs w:val="18"/>
                <w:lang w:val="en-US" w:eastAsia="ko-KR"/>
              </w:rPr>
              <w:t>ank 1 only</w:t>
            </w:r>
          </w:p>
        </w:tc>
      </w:tr>
      <w:tr w:rsidR="0062170B" w:rsidRPr="001746C6" w14:paraId="30C968B5" w14:textId="77777777" w:rsidTr="00543E7F">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68DB56DB" w14:textId="6B1EDF78" w:rsidR="001C143D" w:rsidRPr="001746C6" w:rsidRDefault="001C143D" w:rsidP="00543E7F">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UE speed</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419FF6BC" w14:textId="7A67102B" w:rsidR="001C143D" w:rsidRPr="001746C6" w:rsidRDefault="001C143D" w:rsidP="00543E7F">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30 and 120 km/h</w:t>
            </w:r>
          </w:p>
        </w:tc>
      </w:tr>
      <w:tr w:rsidR="0062170B" w:rsidRPr="001746C6" w14:paraId="09A9B4F6" w14:textId="77777777" w:rsidTr="00543E7F">
        <w:trPr>
          <w:trHeight w:val="341"/>
        </w:trPr>
        <w:tc>
          <w:tcPr>
            <w:tcW w:w="3392" w:type="dxa"/>
            <w:tcBorders>
              <w:top w:val="nil"/>
              <w:left w:val="single" w:sz="8" w:space="0" w:color="auto"/>
              <w:bottom w:val="single" w:sz="4" w:space="0" w:color="auto"/>
              <w:right w:val="single" w:sz="8" w:space="0" w:color="auto"/>
            </w:tcBorders>
            <w:tcMar>
              <w:top w:w="11" w:type="dxa"/>
              <w:left w:w="80" w:type="dxa"/>
              <w:bottom w:w="0" w:type="dxa"/>
              <w:right w:w="80" w:type="dxa"/>
            </w:tcMar>
            <w:vAlign w:val="center"/>
            <w:hideMark/>
          </w:tcPr>
          <w:p w14:paraId="0CD46542" w14:textId="22B6112D" w:rsidR="00B55657" w:rsidRPr="00B55657" w:rsidRDefault="00B55657" w:rsidP="00543E7F">
            <w:pPr>
              <w:keepNext/>
              <w:spacing w:after="0"/>
              <w:jc w:val="both"/>
              <w:rPr>
                <w:rFonts w:ascii="Arial" w:eastAsia="Gulim" w:hAnsi="Arial" w:cs="Arial"/>
                <w:sz w:val="18"/>
                <w:szCs w:val="18"/>
                <w:lang w:val="en-US" w:eastAsia="ko-KR"/>
              </w:rPr>
            </w:pPr>
            <w:r w:rsidRPr="00B55657">
              <w:rPr>
                <w:rFonts w:ascii="Arial" w:eastAsia="Gulim" w:hAnsi="Arial" w:cs="Arial"/>
                <w:sz w:val="18"/>
                <w:szCs w:val="18"/>
                <w:lang w:val="en-US" w:eastAsia="ko-KR"/>
              </w:rPr>
              <w:t xml:space="preserve">UE mobility </w:t>
            </w:r>
            <w:r w:rsidR="00A04BC5" w:rsidRPr="001746C6">
              <w:rPr>
                <w:rFonts w:ascii="Arial" w:eastAsia="Gulim" w:hAnsi="Arial" w:cs="Arial"/>
                <w:sz w:val="18"/>
                <w:szCs w:val="18"/>
                <w:lang w:val="en-US" w:eastAsia="ko-KR"/>
              </w:rPr>
              <w:t>and trajectory</w:t>
            </w:r>
          </w:p>
        </w:tc>
        <w:tc>
          <w:tcPr>
            <w:tcW w:w="6395" w:type="dxa"/>
            <w:tcBorders>
              <w:top w:val="nil"/>
              <w:left w:val="nil"/>
              <w:bottom w:val="single" w:sz="4" w:space="0" w:color="auto"/>
              <w:right w:val="single" w:sz="8" w:space="0" w:color="auto"/>
            </w:tcBorders>
            <w:tcMar>
              <w:top w:w="11" w:type="dxa"/>
              <w:left w:w="80" w:type="dxa"/>
              <w:bottom w:w="0" w:type="dxa"/>
              <w:right w:w="80" w:type="dxa"/>
            </w:tcMar>
            <w:vAlign w:val="center"/>
            <w:hideMark/>
          </w:tcPr>
          <w:p w14:paraId="4B3D4C6C" w14:textId="5D71A977" w:rsidR="00B55657" w:rsidRPr="00B55657" w:rsidRDefault="00A04BC5" w:rsidP="00543E7F">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Linear trajectory, inter-cell mobility</w:t>
            </w:r>
          </w:p>
        </w:tc>
      </w:tr>
      <w:tr w:rsidR="0062170B" w:rsidRPr="001746C6" w14:paraId="2FC9EAB0" w14:textId="77777777" w:rsidTr="00543E7F">
        <w:trPr>
          <w:trHeight w:val="341"/>
        </w:trPr>
        <w:tc>
          <w:tcPr>
            <w:tcW w:w="3392" w:type="dxa"/>
            <w:tcBorders>
              <w:top w:val="single" w:sz="4" w:space="0" w:color="auto"/>
              <w:left w:val="single" w:sz="4" w:space="0" w:color="auto"/>
              <w:bottom w:val="single" w:sz="4" w:space="0" w:color="auto"/>
              <w:right w:val="single" w:sz="4" w:space="0" w:color="auto"/>
            </w:tcBorders>
            <w:tcMar>
              <w:top w:w="11" w:type="dxa"/>
              <w:left w:w="80" w:type="dxa"/>
              <w:bottom w:w="0" w:type="dxa"/>
              <w:right w:w="80" w:type="dxa"/>
            </w:tcMar>
            <w:vAlign w:val="center"/>
          </w:tcPr>
          <w:p w14:paraId="35EB1A02" w14:textId="12B327BB" w:rsidR="001256D2" w:rsidRPr="001746C6" w:rsidRDefault="001256D2" w:rsidP="00543E7F">
            <w:pPr>
              <w:keepNext/>
              <w:spacing w:after="0"/>
              <w:jc w:val="both"/>
              <w:rPr>
                <w:rFonts w:ascii="Arial" w:eastAsia="Gulim" w:hAnsi="Arial" w:cs="Arial"/>
                <w:sz w:val="18"/>
                <w:szCs w:val="18"/>
                <w:lang w:val="en-US" w:eastAsia="ko-KR"/>
              </w:rPr>
            </w:pPr>
            <w:r w:rsidRPr="001746C6">
              <w:rPr>
                <w:rFonts w:ascii="Arial" w:eastAsia="Gulim" w:hAnsi="Arial" w:cs="Arial"/>
                <w:sz w:val="18"/>
                <w:szCs w:val="18"/>
                <w:lang w:val="en-US" w:eastAsia="ko-KR"/>
              </w:rPr>
              <w:t>Performance metrics</w:t>
            </w:r>
          </w:p>
        </w:tc>
        <w:tc>
          <w:tcPr>
            <w:tcW w:w="6395" w:type="dxa"/>
            <w:tcBorders>
              <w:top w:val="single" w:sz="4" w:space="0" w:color="auto"/>
              <w:left w:val="single" w:sz="4" w:space="0" w:color="auto"/>
              <w:bottom w:val="single" w:sz="4" w:space="0" w:color="auto"/>
              <w:right w:val="single" w:sz="4" w:space="0" w:color="auto"/>
            </w:tcBorders>
            <w:tcMar>
              <w:top w:w="11" w:type="dxa"/>
              <w:left w:w="80" w:type="dxa"/>
              <w:bottom w:w="0" w:type="dxa"/>
              <w:right w:w="80" w:type="dxa"/>
            </w:tcMar>
            <w:vAlign w:val="center"/>
          </w:tcPr>
          <w:p w14:paraId="175194E6" w14:textId="6C7F25E6" w:rsidR="001256D2" w:rsidRPr="001746C6" w:rsidRDefault="001256D2" w:rsidP="00F21D4A">
            <w:pPr>
              <w:spacing w:after="0"/>
              <w:contextualSpacing/>
              <w:rPr>
                <w:rFonts w:ascii="Arial" w:eastAsia="Gulim" w:hAnsi="Arial" w:cs="Arial"/>
                <w:sz w:val="18"/>
                <w:szCs w:val="18"/>
                <w:lang w:val="en-US" w:eastAsia="ko-KR"/>
              </w:rPr>
            </w:pPr>
            <w:r w:rsidRPr="001746C6">
              <w:rPr>
                <w:rFonts w:ascii="Arial" w:eastAsia="Gulim" w:hAnsi="Arial" w:cs="Arial"/>
                <w:sz w:val="18"/>
                <w:szCs w:val="18"/>
                <w:lang w:val="en-US" w:eastAsia="ko-KR"/>
              </w:rPr>
              <w:t>Avg. and 5% UPT</w:t>
            </w:r>
          </w:p>
        </w:tc>
      </w:tr>
    </w:tbl>
    <w:p w14:paraId="38B23673" w14:textId="77777777" w:rsidR="00B55657" w:rsidRPr="000C265E" w:rsidRDefault="00B55657" w:rsidP="008C7C70">
      <w:pPr>
        <w:rPr>
          <w:rFonts w:ascii="Arial" w:hAnsi="Arial" w:cs="Arial"/>
          <w:sz w:val="32"/>
          <w:lang w:val="en-US" w:eastAsia="ko-KR"/>
        </w:rPr>
      </w:pPr>
    </w:p>
    <w:sectPr w:rsidR="00B55657" w:rsidRPr="000C265E" w:rsidSect="00667E9F">
      <w:head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2A5AB" w14:textId="77777777" w:rsidR="00D000FB" w:rsidRDefault="00D000FB">
      <w:r>
        <w:separator/>
      </w:r>
    </w:p>
  </w:endnote>
  <w:endnote w:type="continuationSeparator" w:id="0">
    <w:p w14:paraId="3A387553" w14:textId="77777777" w:rsidR="00D000FB" w:rsidRDefault="00D00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Semilight"/>
    <w:panose1 w:val="020B0600000101010101"/>
    <w:charset w:val="81"/>
    <w:family w:val="moder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C65C0" w14:textId="77777777" w:rsidR="00D000FB" w:rsidRDefault="00D000FB">
      <w:r>
        <w:separator/>
      </w:r>
    </w:p>
  </w:footnote>
  <w:footnote w:type="continuationSeparator" w:id="0">
    <w:p w14:paraId="0E55BEAD" w14:textId="77777777" w:rsidR="00D000FB" w:rsidRDefault="00D00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4831B2" w:rsidRDefault="004831B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E95E70"/>
    <w:multiLevelType w:val="hybridMultilevel"/>
    <w:tmpl w:val="58620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813BB"/>
    <w:multiLevelType w:val="hybridMultilevel"/>
    <w:tmpl w:val="A3EE76AC"/>
    <w:lvl w:ilvl="0" w:tplc="8D36F572">
      <w:start w:val="1"/>
      <w:numFmt w:val="lowerRoman"/>
      <w:lvlText w:val="(%1)"/>
      <w:lvlJc w:val="left"/>
      <w:pPr>
        <w:ind w:left="1188" w:hanging="72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7E000A"/>
    <w:multiLevelType w:val="hybridMultilevel"/>
    <w:tmpl w:val="4D80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3" w15:restartNumberingAfterBreak="0">
    <w:nsid w:val="5D944F3E"/>
    <w:multiLevelType w:val="hybridMultilevel"/>
    <w:tmpl w:val="90FE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67603CA"/>
    <w:multiLevelType w:val="hybridMultilevel"/>
    <w:tmpl w:val="74288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E548E7"/>
    <w:multiLevelType w:val="hybridMultilevel"/>
    <w:tmpl w:val="9A204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554020"/>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31"/>
  </w:num>
  <w:num w:numId="4">
    <w:abstractNumId w:val="42"/>
  </w:num>
  <w:num w:numId="5">
    <w:abstractNumId w:val="3"/>
  </w:num>
  <w:num w:numId="6">
    <w:abstractNumId w:val="2"/>
  </w:num>
  <w:num w:numId="7">
    <w:abstractNumId w:val="34"/>
  </w:num>
  <w:num w:numId="8">
    <w:abstractNumId w:val="37"/>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13"/>
  </w:num>
  <w:num w:numId="12">
    <w:abstractNumId w:val="24"/>
  </w:num>
  <w:num w:numId="13">
    <w:abstractNumId w:val="15"/>
  </w:num>
  <w:num w:numId="14">
    <w:abstractNumId w:val="18"/>
  </w:num>
  <w:num w:numId="15">
    <w:abstractNumId w:val="1"/>
  </w:num>
  <w:num w:numId="16">
    <w:abstractNumId w:val="43"/>
  </w:num>
  <w:num w:numId="17">
    <w:abstractNumId w:val="10"/>
  </w:num>
  <w:num w:numId="18">
    <w:abstractNumId w:val="0"/>
  </w:num>
  <w:num w:numId="19">
    <w:abstractNumId w:val="30"/>
  </w:num>
  <w:num w:numId="20">
    <w:abstractNumId w:val="26"/>
  </w:num>
  <w:num w:numId="21">
    <w:abstractNumId w:val="47"/>
  </w:num>
  <w:num w:numId="22">
    <w:abstractNumId w:val="27"/>
  </w:num>
  <w:num w:numId="23">
    <w:abstractNumId w:val="44"/>
  </w:num>
  <w:num w:numId="24">
    <w:abstractNumId w:val="20"/>
  </w:num>
  <w:num w:numId="25">
    <w:abstractNumId w:val="14"/>
  </w:num>
  <w:num w:numId="26">
    <w:abstractNumId w:val="9"/>
  </w:num>
  <w:num w:numId="27">
    <w:abstractNumId w:val="28"/>
  </w:num>
  <w:num w:numId="28">
    <w:abstractNumId w:val="46"/>
  </w:num>
  <w:num w:numId="29">
    <w:abstractNumId w:val="39"/>
  </w:num>
  <w:num w:numId="30">
    <w:abstractNumId w:val="5"/>
  </w:num>
  <w:num w:numId="31">
    <w:abstractNumId w:val="48"/>
  </w:num>
  <w:num w:numId="32">
    <w:abstractNumId w:val="12"/>
  </w:num>
  <w:num w:numId="33">
    <w:abstractNumId w:val="40"/>
  </w:num>
  <w:num w:numId="34">
    <w:abstractNumId w:val="8"/>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33"/>
  </w:num>
  <w:num w:numId="44">
    <w:abstractNumId w:val="36"/>
  </w:num>
  <w:num w:numId="45">
    <w:abstractNumId w:val="19"/>
  </w:num>
  <w:num w:numId="46">
    <w:abstractNumId w:val="6"/>
  </w:num>
  <w:num w:numId="47">
    <w:abstractNumId w:val="38"/>
  </w:num>
  <w:num w:numId="48">
    <w:abstractNumId w:val="22"/>
  </w:num>
  <w:num w:numId="49">
    <w:abstractNumId w:val="1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B82"/>
    <w:rsid w:val="00030EA3"/>
    <w:rsid w:val="00030EA8"/>
    <w:rsid w:val="000318BB"/>
    <w:rsid w:val="00031E6C"/>
    <w:rsid w:val="00032705"/>
    <w:rsid w:val="00032854"/>
    <w:rsid w:val="00032980"/>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1F16"/>
    <w:rsid w:val="00092123"/>
    <w:rsid w:val="00092E6C"/>
    <w:rsid w:val="00093286"/>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336"/>
    <w:rsid w:val="000A6382"/>
    <w:rsid w:val="000A6A24"/>
    <w:rsid w:val="000A6C56"/>
    <w:rsid w:val="000A6FF0"/>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65E"/>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2BA1"/>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56D2"/>
    <w:rsid w:val="001260F9"/>
    <w:rsid w:val="001261C4"/>
    <w:rsid w:val="001266AF"/>
    <w:rsid w:val="001266B0"/>
    <w:rsid w:val="001274FE"/>
    <w:rsid w:val="001276EE"/>
    <w:rsid w:val="001278EB"/>
    <w:rsid w:val="00127976"/>
    <w:rsid w:val="00127AD3"/>
    <w:rsid w:val="001301C1"/>
    <w:rsid w:val="0013023F"/>
    <w:rsid w:val="001303E7"/>
    <w:rsid w:val="0013041F"/>
    <w:rsid w:val="0013076D"/>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591"/>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F78"/>
    <w:rsid w:val="001745D8"/>
    <w:rsid w:val="001745F3"/>
    <w:rsid w:val="001746C6"/>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02A"/>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02"/>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4E5"/>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663"/>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43D"/>
    <w:rsid w:val="001C1936"/>
    <w:rsid w:val="001C2492"/>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79B"/>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5B1"/>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40"/>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58F"/>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70C"/>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29F"/>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B25"/>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15C"/>
    <w:rsid w:val="00444BA3"/>
    <w:rsid w:val="00444E62"/>
    <w:rsid w:val="00445D03"/>
    <w:rsid w:val="00445D58"/>
    <w:rsid w:val="00446B92"/>
    <w:rsid w:val="00446D9C"/>
    <w:rsid w:val="00447049"/>
    <w:rsid w:val="004471CE"/>
    <w:rsid w:val="004474A9"/>
    <w:rsid w:val="00447A9D"/>
    <w:rsid w:val="00447C68"/>
    <w:rsid w:val="004501D0"/>
    <w:rsid w:val="004503B5"/>
    <w:rsid w:val="004506AA"/>
    <w:rsid w:val="00450854"/>
    <w:rsid w:val="00450C48"/>
    <w:rsid w:val="00452715"/>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52FB"/>
    <w:rsid w:val="00495455"/>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4F7A9B"/>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3E7F"/>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9B8"/>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419"/>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5E60"/>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86"/>
    <w:rsid w:val="006108F1"/>
    <w:rsid w:val="00610A3D"/>
    <w:rsid w:val="00610B4D"/>
    <w:rsid w:val="006110CE"/>
    <w:rsid w:val="0061123A"/>
    <w:rsid w:val="006127A1"/>
    <w:rsid w:val="00612F68"/>
    <w:rsid w:val="00612FF6"/>
    <w:rsid w:val="00613163"/>
    <w:rsid w:val="006132C8"/>
    <w:rsid w:val="00613392"/>
    <w:rsid w:val="006134A9"/>
    <w:rsid w:val="00613608"/>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70B"/>
    <w:rsid w:val="0062196D"/>
    <w:rsid w:val="00621F5C"/>
    <w:rsid w:val="00621FD0"/>
    <w:rsid w:val="00622A73"/>
    <w:rsid w:val="00622F47"/>
    <w:rsid w:val="006230D7"/>
    <w:rsid w:val="00623446"/>
    <w:rsid w:val="006237CC"/>
    <w:rsid w:val="00623CCA"/>
    <w:rsid w:val="00624039"/>
    <w:rsid w:val="00624AEC"/>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34C"/>
    <w:rsid w:val="006448D9"/>
    <w:rsid w:val="006449E8"/>
    <w:rsid w:val="00644BB5"/>
    <w:rsid w:val="00645488"/>
    <w:rsid w:val="006458B7"/>
    <w:rsid w:val="00645E28"/>
    <w:rsid w:val="00645E63"/>
    <w:rsid w:val="00645EC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313"/>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133"/>
    <w:rsid w:val="006A65A0"/>
    <w:rsid w:val="006A6660"/>
    <w:rsid w:val="006A6A20"/>
    <w:rsid w:val="006A6FAD"/>
    <w:rsid w:val="006A7131"/>
    <w:rsid w:val="006A727C"/>
    <w:rsid w:val="006A73C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68EB"/>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299"/>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A4"/>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33"/>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65F9"/>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2AF"/>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1F2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43B"/>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42AA"/>
    <w:rsid w:val="0085454A"/>
    <w:rsid w:val="00854619"/>
    <w:rsid w:val="0085484C"/>
    <w:rsid w:val="00854C6B"/>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74B"/>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3E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C7C7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AC5"/>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58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BF"/>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634"/>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55D"/>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C4C"/>
    <w:rsid w:val="009A6D58"/>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7B4"/>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BC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658"/>
    <w:rsid w:val="00A61895"/>
    <w:rsid w:val="00A6241F"/>
    <w:rsid w:val="00A62661"/>
    <w:rsid w:val="00A626D8"/>
    <w:rsid w:val="00A63BA0"/>
    <w:rsid w:val="00A63D53"/>
    <w:rsid w:val="00A63DC8"/>
    <w:rsid w:val="00A63FB8"/>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6CD4"/>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54F"/>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74E"/>
    <w:rsid w:val="00B51895"/>
    <w:rsid w:val="00B51924"/>
    <w:rsid w:val="00B534DB"/>
    <w:rsid w:val="00B53B8E"/>
    <w:rsid w:val="00B54334"/>
    <w:rsid w:val="00B54F7F"/>
    <w:rsid w:val="00B5526D"/>
    <w:rsid w:val="00B55657"/>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370"/>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08"/>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1BA"/>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BA8"/>
    <w:rsid w:val="00C47F78"/>
    <w:rsid w:val="00C508ED"/>
    <w:rsid w:val="00C50936"/>
    <w:rsid w:val="00C50F19"/>
    <w:rsid w:val="00C5119E"/>
    <w:rsid w:val="00C511E0"/>
    <w:rsid w:val="00C51789"/>
    <w:rsid w:val="00C51904"/>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9E9"/>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71B"/>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87"/>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537"/>
    <w:rsid w:val="00CF7C58"/>
    <w:rsid w:val="00CF7DCA"/>
    <w:rsid w:val="00D000FB"/>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2DC"/>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C63"/>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70"/>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6B6"/>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054"/>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5FA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15C"/>
    <w:rsid w:val="00EA135B"/>
    <w:rsid w:val="00EA13B4"/>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6D"/>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13D1"/>
    <w:rsid w:val="00F115E1"/>
    <w:rsid w:val="00F11730"/>
    <w:rsid w:val="00F11B15"/>
    <w:rsid w:val="00F11C04"/>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1D4A"/>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2891"/>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9AF"/>
    <w:rsid w:val="00FE2AC2"/>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2"/>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295166229221347"/>
          <c:y val="2.3750156230471192E-2"/>
          <c:w val="0.82538167104111981"/>
          <c:h val="0.60409061051618185"/>
        </c:manualLayout>
      </c:layout>
      <c:barChart>
        <c:barDir val="col"/>
        <c:grouping val="clustered"/>
        <c:varyColors val="0"/>
        <c:ser>
          <c:idx val="0"/>
          <c:order val="0"/>
          <c:tx>
            <c:strRef>
              <c:f>Sheet1!$B$1</c:f>
              <c:strCache>
                <c:ptCount val="1"/>
                <c:pt idx="0">
                  <c:v>Rel.15/16-based mobility, 30kmph</c:v>
                </c:pt>
              </c:strCache>
            </c:strRef>
          </c:tx>
          <c:spPr>
            <a:solidFill>
              <a:schemeClr val="accent1"/>
            </a:solidFill>
            <a:ln>
              <a:noFill/>
            </a:ln>
            <a:effectLst/>
          </c:spPr>
          <c:invertIfNegative val="0"/>
          <c:cat>
            <c:strRef>
              <c:f>Sheet1!$A$2</c:f>
              <c:strCache>
                <c:ptCount val="1"/>
                <c:pt idx="0">
                  <c:v>Average throughput</c:v>
                </c:pt>
              </c:strCache>
            </c:strRef>
          </c:cat>
          <c:val>
            <c:numRef>
              <c:f>Sheet1!$B$2</c:f>
              <c:numCache>
                <c:formatCode>General</c:formatCode>
                <c:ptCount val="1"/>
                <c:pt idx="0">
                  <c:v>1</c:v>
                </c:pt>
              </c:numCache>
            </c:numRef>
          </c:val>
          <c:extLst>
            <c:ext xmlns:c16="http://schemas.microsoft.com/office/drawing/2014/chart" uri="{C3380CC4-5D6E-409C-BE32-E72D297353CC}">
              <c16:uniqueId val="{00000000-7B7E-41F5-963C-F7B66E5C428B}"/>
            </c:ext>
          </c:extLst>
        </c:ser>
        <c:ser>
          <c:idx val="1"/>
          <c:order val="1"/>
          <c:tx>
            <c:strRef>
              <c:f>Sheet1!$C$1</c:f>
              <c:strCache>
                <c:ptCount val="1"/>
                <c:pt idx="0">
                  <c:v>Beam-based mobility, 30kmph</c:v>
                </c:pt>
              </c:strCache>
            </c:strRef>
          </c:tx>
          <c:spPr>
            <a:solidFill>
              <a:schemeClr val="accent2"/>
            </a:solidFill>
            <a:ln>
              <a:noFill/>
            </a:ln>
            <a:effectLst/>
          </c:spPr>
          <c:invertIfNegative val="0"/>
          <c:cat>
            <c:strRef>
              <c:f>Sheet1!$A$2</c:f>
              <c:strCache>
                <c:ptCount val="1"/>
                <c:pt idx="0">
                  <c:v>Average throughput</c:v>
                </c:pt>
              </c:strCache>
            </c:strRef>
          </c:cat>
          <c:val>
            <c:numRef>
              <c:f>Sheet1!$C$2</c:f>
              <c:numCache>
                <c:formatCode>General</c:formatCode>
                <c:ptCount val="1"/>
                <c:pt idx="0">
                  <c:v>1.2072193852007609</c:v>
                </c:pt>
              </c:numCache>
            </c:numRef>
          </c:val>
          <c:extLst>
            <c:ext xmlns:c16="http://schemas.microsoft.com/office/drawing/2014/chart" uri="{C3380CC4-5D6E-409C-BE32-E72D297353CC}">
              <c16:uniqueId val="{00000001-7B7E-41F5-963C-F7B66E5C428B}"/>
            </c:ext>
          </c:extLst>
        </c:ser>
        <c:ser>
          <c:idx val="2"/>
          <c:order val="2"/>
          <c:tx>
            <c:strRef>
              <c:f>Sheet1!$D$1</c:f>
              <c:strCache>
                <c:ptCount val="1"/>
                <c:pt idx="0">
                  <c:v>Rel.15/16-based mobility, 120kmph</c:v>
                </c:pt>
              </c:strCache>
            </c:strRef>
          </c:tx>
          <c:spPr>
            <a:solidFill>
              <a:schemeClr val="accent3"/>
            </a:solidFill>
            <a:ln>
              <a:noFill/>
            </a:ln>
            <a:effectLst/>
          </c:spPr>
          <c:invertIfNegative val="0"/>
          <c:cat>
            <c:strRef>
              <c:f>Sheet1!$A$2</c:f>
              <c:strCache>
                <c:ptCount val="1"/>
                <c:pt idx="0">
                  <c:v>Average throughput</c:v>
                </c:pt>
              </c:strCache>
            </c:strRef>
          </c:cat>
          <c:val>
            <c:numRef>
              <c:f>Sheet1!$D$2</c:f>
              <c:numCache>
                <c:formatCode>General</c:formatCode>
                <c:ptCount val="1"/>
                <c:pt idx="0">
                  <c:v>0.55271853409432259</c:v>
                </c:pt>
              </c:numCache>
            </c:numRef>
          </c:val>
          <c:extLst>
            <c:ext xmlns:c16="http://schemas.microsoft.com/office/drawing/2014/chart" uri="{C3380CC4-5D6E-409C-BE32-E72D297353CC}">
              <c16:uniqueId val="{00000002-7B7E-41F5-963C-F7B66E5C428B}"/>
            </c:ext>
          </c:extLst>
        </c:ser>
        <c:ser>
          <c:idx val="3"/>
          <c:order val="3"/>
          <c:tx>
            <c:strRef>
              <c:f>Sheet1!$E$1</c:f>
              <c:strCache>
                <c:ptCount val="1"/>
                <c:pt idx="0">
                  <c:v>Beam-based mobility, 120kmph</c:v>
                </c:pt>
              </c:strCache>
            </c:strRef>
          </c:tx>
          <c:spPr>
            <a:solidFill>
              <a:schemeClr val="accent4"/>
            </a:solidFill>
            <a:ln>
              <a:noFill/>
            </a:ln>
            <a:effectLst/>
          </c:spPr>
          <c:invertIfNegative val="0"/>
          <c:cat>
            <c:strRef>
              <c:f>Sheet1!$A$2</c:f>
              <c:strCache>
                <c:ptCount val="1"/>
                <c:pt idx="0">
                  <c:v>Average throughput</c:v>
                </c:pt>
              </c:strCache>
            </c:strRef>
          </c:cat>
          <c:val>
            <c:numRef>
              <c:f>Sheet1!$E$2</c:f>
              <c:numCache>
                <c:formatCode>General</c:formatCode>
                <c:ptCount val="1"/>
                <c:pt idx="0">
                  <c:v>1.0607289476319215</c:v>
                </c:pt>
              </c:numCache>
            </c:numRef>
          </c:val>
          <c:extLst>
            <c:ext xmlns:c16="http://schemas.microsoft.com/office/drawing/2014/chart" uri="{C3380CC4-5D6E-409C-BE32-E72D297353CC}">
              <c16:uniqueId val="{00000003-7B7E-41F5-963C-F7B66E5C428B}"/>
            </c:ext>
          </c:extLst>
        </c:ser>
        <c:dLbls>
          <c:showLegendKey val="0"/>
          <c:showVal val="0"/>
          <c:showCatName val="0"/>
          <c:showSerName val="0"/>
          <c:showPercent val="0"/>
          <c:showBubbleSize val="0"/>
        </c:dLbls>
        <c:gapWidth val="219"/>
        <c:overlap val="-27"/>
        <c:axId val="1304396376"/>
        <c:axId val="1304393752"/>
      </c:barChart>
      <c:catAx>
        <c:axId val="1304396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304393752"/>
        <c:crosses val="autoZero"/>
        <c:auto val="1"/>
        <c:lblAlgn val="ctr"/>
        <c:lblOffset val="100"/>
        <c:noMultiLvlLbl val="0"/>
      </c:catAx>
      <c:valAx>
        <c:axId val="1304393752"/>
        <c:scaling>
          <c:orientation val="minMax"/>
          <c:max val="1.4"/>
          <c:min val="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304396376"/>
        <c:crosses val="autoZero"/>
        <c:crossBetween val="between"/>
      </c:valAx>
      <c:spPr>
        <a:noFill/>
        <a:ln>
          <a:noFill/>
        </a:ln>
        <a:effectLst/>
      </c:spPr>
    </c:plotArea>
    <c:legend>
      <c:legendPos val="b"/>
      <c:layout>
        <c:manualLayout>
          <c:xMode val="edge"/>
          <c:yMode val="edge"/>
          <c:x val="5.9661738711232537E-2"/>
          <c:y val="0.75267434067026906"/>
          <c:w val="0.80257110718303071"/>
          <c:h val="0.20908478564993643"/>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295166229221347"/>
          <c:y val="2.3750156230471192E-2"/>
          <c:w val="0.66024344434009974"/>
          <c:h val="0.83101980799245223"/>
        </c:manualLayout>
      </c:layout>
      <c:barChart>
        <c:barDir val="col"/>
        <c:grouping val="clustered"/>
        <c:varyColors val="0"/>
        <c:ser>
          <c:idx val="0"/>
          <c:order val="0"/>
          <c:tx>
            <c:strRef>
              <c:f>Sheet1!$B$1</c:f>
              <c:strCache>
                <c:ptCount val="1"/>
                <c:pt idx="0">
                  <c:v>Rel.15 NR, 30kmph</c:v>
                </c:pt>
              </c:strCache>
            </c:strRef>
          </c:tx>
          <c:spPr>
            <a:solidFill>
              <a:schemeClr val="accent1"/>
            </a:solidFill>
            <a:ln>
              <a:noFill/>
            </a:ln>
            <a:effectLst/>
          </c:spPr>
          <c:invertIfNegative val="0"/>
          <c:cat>
            <c:strRef>
              <c:f>Sheet1!$A$2</c:f>
              <c:strCache>
                <c:ptCount val="1"/>
                <c:pt idx="0">
                  <c:v>cell-edge throughput</c:v>
                </c:pt>
              </c:strCache>
            </c:strRef>
          </c:cat>
          <c:val>
            <c:numRef>
              <c:f>Sheet1!$B$2</c:f>
              <c:numCache>
                <c:formatCode>General</c:formatCode>
                <c:ptCount val="1"/>
                <c:pt idx="0">
                  <c:v>1</c:v>
                </c:pt>
              </c:numCache>
            </c:numRef>
          </c:val>
          <c:extLst>
            <c:ext xmlns:c16="http://schemas.microsoft.com/office/drawing/2014/chart" uri="{C3380CC4-5D6E-409C-BE32-E72D297353CC}">
              <c16:uniqueId val="{00000000-F049-4258-97B8-AC35182E01B8}"/>
            </c:ext>
          </c:extLst>
        </c:ser>
        <c:ser>
          <c:idx val="1"/>
          <c:order val="1"/>
          <c:tx>
            <c:strRef>
              <c:f>Sheet1!$C$1</c:f>
              <c:strCache>
                <c:ptCount val="1"/>
                <c:pt idx="0">
                  <c:v>Proposed, 30kmph</c:v>
                </c:pt>
              </c:strCache>
            </c:strRef>
          </c:tx>
          <c:spPr>
            <a:solidFill>
              <a:schemeClr val="accent2"/>
            </a:solidFill>
            <a:ln>
              <a:noFill/>
            </a:ln>
            <a:effectLst/>
          </c:spPr>
          <c:invertIfNegative val="0"/>
          <c:cat>
            <c:strRef>
              <c:f>Sheet1!$A$2</c:f>
              <c:strCache>
                <c:ptCount val="1"/>
                <c:pt idx="0">
                  <c:v>cell-edge throughput</c:v>
                </c:pt>
              </c:strCache>
            </c:strRef>
          </c:cat>
          <c:val>
            <c:numRef>
              <c:f>Sheet1!$C$2</c:f>
              <c:numCache>
                <c:formatCode>General</c:formatCode>
                <c:ptCount val="1"/>
                <c:pt idx="0">
                  <c:v>6.1968503937007879</c:v>
                </c:pt>
              </c:numCache>
            </c:numRef>
          </c:val>
          <c:extLst>
            <c:ext xmlns:c16="http://schemas.microsoft.com/office/drawing/2014/chart" uri="{C3380CC4-5D6E-409C-BE32-E72D297353CC}">
              <c16:uniqueId val="{00000001-F049-4258-97B8-AC35182E01B8}"/>
            </c:ext>
          </c:extLst>
        </c:ser>
        <c:ser>
          <c:idx val="2"/>
          <c:order val="2"/>
          <c:tx>
            <c:strRef>
              <c:f>Sheet1!$D$1</c:f>
              <c:strCache>
                <c:ptCount val="1"/>
                <c:pt idx="0">
                  <c:v>Rel.15 NR, 120kmph</c:v>
                </c:pt>
              </c:strCache>
            </c:strRef>
          </c:tx>
          <c:spPr>
            <a:solidFill>
              <a:schemeClr val="accent3"/>
            </a:solidFill>
            <a:ln>
              <a:noFill/>
            </a:ln>
            <a:effectLst/>
          </c:spPr>
          <c:invertIfNegative val="0"/>
          <c:cat>
            <c:strRef>
              <c:f>Sheet1!$A$2</c:f>
              <c:strCache>
                <c:ptCount val="1"/>
                <c:pt idx="0">
                  <c:v>cell-edge throughput</c:v>
                </c:pt>
              </c:strCache>
            </c:strRef>
          </c:cat>
          <c:val>
            <c:numRef>
              <c:f>Sheet1!$D$2</c:f>
              <c:numCache>
                <c:formatCode>General</c:formatCode>
                <c:ptCount val="1"/>
                <c:pt idx="0">
                  <c:v>6.4960629921259838E-2</c:v>
                </c:pt>
              </c:numCache>
            </c:numRef>
          </c:val>
          <c:extLst>
            <c:ext xmlns:c16="http://schemas.microsoft.com/office/drawing/2014/chart" uri="{C3380CC4-5D6E-409C-BE32-E72D297353CC}">
              <c16:uniqueId val="{00000002-F049-4258-97B8-AC35182E01B8}"/>
            </c:ext>
          </c:extLst>
        </c:ser>
        <c:ser>
          <c:idx val="3"/>
          <c:order val="3"/>
          <c:tx>
            <c:strRef>
              <c:f>Sheet1!$E$1</c:f>
              <c:strCache>
                <c:ptCount val="1"/>
                <c:pt idx="0">
                  <c:v>Proposed, 120kmph</c:v>
                </c:pt>
              </c:strCache>
            </c:strRef>
          </c:tx>
          <c:spPr>
            <a:solidFill>
              <a:schemeClr val="accent4"/>
            </a:solidFill>
            <a:ln>
              <a:noFill/>
            </a:ln>
            <a:effectLst/>
          </c:spPr>
          <c:invertIfNegative val="0"/>
          <c:cat>
            <c:strRef>
              <c:f>Sheet1!$A$2</c:f>
              <c:strCache>
                <c:ptCount val="1"/>
                <c:pt idx="0">
                  <c:v>cell-edge throughput</c:v>
                </c:pt>
              </c:strCache>
            </c:strRef>
          </c:cat>
          <c:val>
            <c:numRef>
              <c:f>Sheet1!$E$2</c:f>
              <c:numCache>
                <c:formatCode>General</c:formatCode>
                <c:ptCount val="1"/>
                <c:pt idx="0">
                  <c:v>2.8937007874015745</c:v>
                </c:pt>
              </c:numCache>
            </c:numRef>
          </c:val>
          <c:extLst>
            <c:ext xmlns:c16="http://schemas.microsoft.com/office/drawing/2014/chart" uri="{C3380CC4-5D6E-409C-BE32-E72D297353CC}">
              <c16:uniqueId val="{00000003-F049-4258-97B8-AC35182E01B8}"/>
            </c:ext>
          </c:extLst>
        </c:ser>
        <c:dLbls>
          <c:showLegendKey val="0"/>
          <c:showVal val="0"/>
          <c:showCatName val="0"/>
          <c:showSerName val="0"/>
          <c:showPercent val="0"/>
          <c:showBubbleSize val="0"/>
        </c:dLbls>
        <c:gapWidth val="219"/>
        <c:overlap val="-27"/>
        <c:axId val="1304396376"/>
        <c:axId val="1304393752"/>
      </c:barChart>
      <c:catAx>
        <c:axId val="1304396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304393752"/>
        <c:crosses val="autoZero"/>
        <c:auto val="1"/>
        <c:lblAlgn val="ctr"/>
        <c:lblOffset val="100"/>
        <c:noMultiLvlLbl val="0"/>
      </c:catAx>
      <c:valAx>
        <c:axId val="1304393752"/>
        <c:scaling>
          <c:orientation val="minMax"/>
          <c:max val="6.2"/>
          <c:min val="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304396376"/>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AF2CC-8EE8-4851-93E6-3DB89D6C4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636</Words>
  <Characters>3626</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5</cp:revision>
  <cp:lastPrinted>2017-03-24T05:34:00Z</cp:lastPrinted>
  <dcterms:created xsi:type="dcterms:W3CDTF">2020-08-06T22:20:00Z</dcterms:created>
  <dcterms:modified xsi:type="dcterms:W3CDTF">2020-08-07T20:57:00Z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